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931A25">
      <w:pPr>
        <w:pStyle w:val="33"/>
        <w:spacing w:before="120" w:beforeAutospacing="0" w:after="120" w:afterAutospacing="0" w:line="360" w:lineRule="auto"/>
        <w:jc w:val="center"/>
        <w:rPr>
          <w:rFonts w:ascii="Arial" w:hAnsi="Arial" w:cs="Arial"/>
          <w:b/>
          <w:color w:val="auto"/>
          <w:sz w:val="84"/>
          <w:szCs w:val="84"/>
          <w:highlight w:val="none"/>
        </w:rPr>
      </w:pPr>
    </w:p>
    <w:p w14:paraId="77C0EC38">
      <w:pPr>
        <w:pStyle w:val="33"/>
        <w:spacing w:before="120" w:beforeAutospacing="0" w:after="120" w:afterAutospacing="0" w:line="360" w:lineRule="auto"/>
        <w:jc w:val="center"/>
        <w:rPr>
          <w:rFonts w:ascii="Arial" w:hAnsi="Arial" w:cs="Arial"/>
          <w:b/>
          <w:color w:val="auto"/>
          <w:sz w:val="84"/>
          <w:szCs w:val="84"/>
          <w:highlight w:val="none"/>
        </w:rPr>
      </w:pPr>
    </w:p>
    <w:p w14:paraId="557E9B90">
      <w:pPr>
        <w:pStyle w:val="33"/>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2A62878C">
      <w:pPr>
        <w:pStyle w:val="33"/>
        <w:spacing w:before="120" w:beforeAutospacing="0" w:after="120" w:afterAutospacing="0" w:line="360" w:lineRule="auto"/>
        <w:jc w:val="center"/>
        <w:rPr>
          <w:rFonts w:ascii="Arial" w:hAnsi="Arial" w:cs="Arial"/>
          <w:b/>
          <w:color w:val="auto"/>
          <w:sz w:val="32"/>
          <w:szCs w:val="32"/>
          <w:highlight w:val="none"/>
        </w:rPr>
      </w:pPr>
    </w:p>
    <w:p w14:paraId="47540FC2">
      <w:pPr>
        <w:ind w:firstLine="964"/>
        <w:jc w:val="center"/>
        <w:rPr>
          <w:rFonts w:hint="eastAsia" w:ascii="宋体" w:hAnsi="宋体" w:eastAsia="宋体" w:cs="宋体"/>
          <w:b/>
          <w:bCs/>
          <w:color w:val="auto"/>
          <w:spacing w:val="7"/>
          <w:sz w:val="31"/>
          <w:szCs w:val="31"/>
          <w:highlight w:val="none"/>
        </w:rPr>
      </w:pPr>
    </w:p>
    <w:p w14:paraId="2B08B76B">
      <w:pPr>
        <w:ind w:left="1941" w:hanging="1626"/>
        <w:rPr>
          <w:rFonts w:hint="default" w:ascii="宋体" w:hAnsi="宋体" w:eastAsia="宋体" w:cs="宋体"/>
          <w:b/>
          <w:bCs/>
          <w:color w:val="auto"/>
          <w:spacing w:val="7"/>
          <w:sz w:val="31"/>
          <w:szCs w:val="31"/>
          <w:highlight w:val="none"/>
          <w:lang w:val="en-US" w:eastAsia="zh-CN"/>
        </w:rPr>
      </w:pPr>
      <w:r>
        <w:rPr>
          <w:rFonts w:hint="eastAsia" w:ascii="宋体" w:hAnsi="宋体" w:eastAsia="宋体" w:cs="宋体"/>
          <w:b/>
          <w:bCs/>
          <w:color w:val="auto"/>
          <w:spacing w:val="7"/>
          <w:sz w:val="31"/>
          <w:szCs w:val="31"/>
          <w:highlight w:val="none"/>
        </w:rPr>
        <w:t>项目名称：</w:t>
      </w:r>
      <w:r>
        <w:rPr>
          <w:rFonts w:hint="eastAsia" w:ascii="宋体" w:hAnsi="宋体" w:eastAsia="宋体" w:cs="宋体"/>
          <w:b/>
          <w:bCs/>
          <w:color w:val="auto"/>
          <w:spacing w:val="7"/>
          <w:sz w:val="31"/>
          <w:szCs w:val="31"/>
          <w:highlight w:val="none"/>
          <w:lang w:eastAsia="zh-CN"/>
        </w:rPr>
        <w:t>盐城市大丰区新丰中学 2026-2027 学年度</w:t>
      </w:r>
    </w:p>
    <w:p w14:paraId="593D5CF2">
      <w:pPr>
        <w:ind w:left="2158" w:leftChars="915" w:hanging="237" w:hangingChars="73"/>
        <w:rPr>
          <w:rFonts w:hint="eastAsia" w:ascii="宋体" w:hAnsi="宋体" w:eastAsia="宋体" w:cs="宋体"/>
          <w:b/>
          <w:bCs/>
          <w:color w:val="auto"/>
          <w:spacing w:val="7"/>
          <w:sz w:val="31"/>
          <w:szCs w:val="31"/>
          <w:highlight w:val="none"/>
          <w:lang w:eastAsia="zh-CN"/>
        </w:rPr>
      </w:pPr>
      <w:r>
        <w:rPr>
          <w:rFonts w:hint="eastAsia" w:ascii="宋体" w:hAnsi="宋体" w:eastAsia="宋体" w:cs="宋体"/>
          <w:b/>
          <w:bCs/>
          <w:color w:val="auto"/>
          <w:spacing w:val="7"/>
          <w:sz w:val="31"/>
          <w:szCs w:val="31"/>
          <w:highlight w:val="none"/>
          <w:lang w:eastAsia="zh-CN"/>
        </w:rPr>
        <w:t>食堂</w:t>
      </w:r>
      <w:r>
        <w:rPr>
          <w:rFonts w:hint="eastAsia" w:ascii="宋体" w:hAnsi="宋体" w:eastAsia="宋体" w:cs="宋体"/>
          <w:b/>
          <w:bCs/>
          <w:color w:val="auto"/>
          <w:spacing w:val="7"/>
          <w:sz w:val="31"/>
          <w:szCs w:val="31"/>
          <w:highlight w:val="none"/>
          <w:lang w:val="en-US" w:eastAsia="zh-CN"/>
        </w:rPr>
        <w:t>餐饮</w:t>
      </w:r>
      <w:r>
        <w:rPr>
          <w:rFonts w:hint="eastAsia" w:ascii="宋体" w:hAnsi="宋体" w:eastAsia="宋体" w:cs="宋体"/>
          <w:b/>
          <w:bCs/>
          <w:color w:val="auto"/>
          <w:spacing w:val="7"/>
          <w:sz w:val="31"/>
          <w:szCs w:val="31"/>
          <w:highlight w:val="none"/>
          <w:lang w:eastAsia="zh-CN"/>
        </w:rPr>
        <w:t>服务项目</w:t>
      </w:r>
    </w:p>
    <w:p w14:paraId="361FFA5A">
      <w:pPr>
        <w:ind w:left="0" w:leftChars="0" w:firstLine="325" w:firstLineChars="100"/>
        <w:rPr>
          <w:rFonts w:hint="eastAsia" w:ascii="宋体" w:hAnsi="宋体" w:eastAsia="宋体" w:cs="宋体"/>
          <w:b/>
          <w:bCs/>
          <w:color w:val="auto"/>
          <w:spacing w:val="7"/>
          <w:sz w:val="31"/>
          <w:szCs w:val="31"/>
          <w:highlight w:val="none"/>
          <w:lang w:val="en-US" w:eastAsia="zh-CN"/>
        </w:rPr>
      </w:pPr>
    </w:p>
    <w:p w14:paraId="5B55DD5F">
      <w:pPr>
        <w:ind w:left="0" w:leftChars="0" w:firstLine="325" w:firstLineChars="100"/>
        <w:rPr>
          <w:rFonts w:hint="default" w:ascii="宋体" w:hAnsi="宋体" w:eastAsia="宋体" w:cs="宋体"/>
          <w:b/>
          <w:bCs/>
          <w:color w:val="auto"/>
          <w:spacing w:val="7"/>
          <w:sz w:val="31"/>
          <w:szCs w:val="31"/>
          <w:highlight w:val="none"/>
          <w:lang w:val="en-US" w:eastAsia="zh-CN"/>
        </w:rPr>
      </w:pPr>
      <w:r>
        <w:rPr>
          <w:rFonts w:hint="eastAsia" w:ascii="宋体" w:hAnsi="宋体" w:eastAsia="宋体" w:cs="宋体"/>
          <w:b/>
          <w:bCs/>
          <w:color w:val="auto"/>
          <w:spacing w:val="7"/>
          <w:sz w:val="31"/>
          <w:szCs w:val="31"/>
          <w:highlight w:val="none"/>
          <w:lang w:val="en-US" w:eastAsia="zh-CN"/>
        </w:rPr>
        <w:t>项目编号：</w:t>
      </w:r>
      <w:r>
        <w:rPr>
          <w:rFonts w:hint="eastAsia" w:ascii="宋体" w:hAnsi="宋体" w:eastAsia="宋体" w:cs="宋体"/>
          <w:b/>
          <w:bCs/>
          <w:color w:val="auto"/>
          <w:spacing w:val="7"/>
          <w:sz w:val="31"/>
          <w:szCs w:val="31"/>
          <w:highlight w:val="none"/>
          <w:lang w:eastAsia="zh-CN"/>
        </w:rPr>
        <w:t>JSZC-320904-HCGL-G2026-0001</w:t>
      </w:r>
    </w:p>
    <w:p w14:paraId="72E28E3B">
      <w:pPr>
        <w:ind w:firstLine="964"/>
        <w:jc w:val="center"/>
        <w:rPr>
          <w:b/>
          <w:bCs/>
          <w:color w:val="auto"/>
          <w:sz w:val="32"/>
          <w:szCs w:val="40"/>
          <w:highlight w:val="none"/>
        </w:rPr>
      </w:pPr>
    </w:p>
    <w:p w14:paraId="304A17ED">
      <w:pPr>
        <w:ind w:firstLine="964"/>
        <w:jc w:val="center"/>
        <w:rPr>
          <w:b/>
          <w:bCs/>
          <w:color w:val="auto"/>
          <w:sz w:val="32"/>
          <w:szCs w:val="40"/>
          <w:highlight w:val="none"/>
        </w:rPr>
      </w:pPr>
    </w:p>
    <w:p w14:paraId="526E40BA">
      <w:pPr>
        <w:ind w:firstLine="964"/>
        <w:jc w:val="center"/>
        <w:rPr>
          <w:b/>
          <w:bCs/>
          <w:color w:val="auto"/>
          <w:sz w:val="32"/>
          <w:szCs w:val="40"/>
          <w:highlight w:val="none"/>
        </w:rPr>
      </w:pPr>
    </w:p>
    <w:p w14:paraId="4F72C825">
      <w:pPr>
        <w:ind w:firstLine="964"/>
        <w:jc w:val="center"/>
        <w:rPr>
          <w:b/>
          <w:bCs/>
          <w:color w:val="auto"/>
          <w:sz w:val="32"/>
          <w:szCs w:val="40"/>
          <w:highlight w:val="none"/>
        </w:rPr>
      </w:pPr>
    </w:p>
    <w:p w14:paraId="4A7EAF6E">
      <w:pPr>
        <w:ind w:firstLine="964"/>
        <w:jc w:val="center"/>
        <w:rPr>
          <w:b/>
          <w:bCs/>
          <w:color w:val="auto"/>
          <w:sz w:val="32"/>
          <w:szCs w:val="40"/>
          <w:highlight w:val="none"/>
        </w:rPr>
      </w:pPr>
    </w:p>
    <w:p w14:paraId="5B98BE90">
      <w:pPr>
        <w:widowControl/>
        <w:spacing w:before="101" w:line="295" w:lineRule="auto"/>
        <w:jc w:val="center"/>
        <w:rPr>
          <w:rFonts w:ascii="黑体" w:hAnsi="黑体" w:eastAsia="黑体" w:cs="黑体"/>
          <w:color w:val="auto"/>
          <w:spacing w:val="7"/>
          <w:sz w:val="31"/>
          <w:szCs w:val="31"/>
          <w:highlight w:val="none"/>
        </w:rPr>
      </w:pPr>
    </w:p>
    <w:p w14:paraId="74ED419F">
      <w:pPr>
        <w:widowControl/>
        <w:spacing w:before="101" w:line="295" w:lineRule="auto"/>
        <w:jc w:val="center"/>
        <w:rPr>
          <w:rFonts w:ascii="黑体" w:hAnsi="黑体" w:eastAsia="黑体" w:cs="黑体"/>
          <w:color w:val="auto"/>
          <w:spacing w:val="7"/>
          <w:sz w:val="31"/>
          <w:szCs w:val="31"/>
          <w:highlight w:val="none"/>
        </w:rPr>
      </w:pPr>
    </w:p>
    <w:p w14:paraId="7DC09801">
      <w:pPr>
        <w:widowControl/>
        <w:spacing w:before="101" w:line="295" w:lineRule="auto"/>
        <w:jc w:val="center"/>
        <w:rPr>
          <w:rFonts w:ascii="黑体" w:hAnsi="黑体" w:eastAsia="黑体" w:cs="黑体"/>
          <w:color w:val="auto"/>
          <w:spacing w:val="7"/>
          <w:sz w:val="31"/>
          <w:szCs w:val="31"/>
          <w:highlight w:val="none"/>
        </w:rPr>
      </w:pPr>
    </w:p>
    <w:p w14:paraId="3708CBF2">
      <w:pPr>
        <w:widowControl/>
        <w:spacing w:before="101" w:line="295" w:lineRule="auto"/>
        <w:jc w:val="center"/>
        <w:rPr>
          <w:rFonts w:ascii="黑体" w:hAnsi="黑体" w:eastAsia="黑体" w:cs="黑体"/>
          <w:color w:val="auto"/>
          <w:spacing w:val="7"/>
          <w:sz w:val="31"/>
          <w:szCs w:val="31"/>
          <w:highlight w:val="none"/>
        </w:rPr>
      </w:pPr>
    </w:p>
    <w:p w14:paraId="7F99C392">
      <w:pPr>
        <w:widowControl/>
        <w:spacing w:before="101" w:line="295" w:lineRule="auto"/>
        <w:jc w:val="center"/>
        <w:rPr>
          <w:rFonts w:ascii="黑体" w:hAnsi="黑体" w:eastAsia="黑体" w:cs="黑体"/>
          <w:color w:val="auto"/>
          <w:spacing w:val="7"/>
          <w:sz w:val="31"/>
          <w:szCs w:val="31"/>
          <w:highlight w:val="none"/>
        </w:rPr>
      </w:pPr>
    </w:p>
    <w:p w14:paraId="14F25C7F">
      <w:pPr>
        <w:widowControl/>
        <w:spacing w:before="101" w:line="295" w:lineRule="auto"/>
        <w:jc w:val="center"/>
        <w:rPr>
          <w:rFonts w:hint="eastAsia" w:ascii="黑体" w:hAnsi="黑体" w:eastAsia="黑体" w:cs="黑体"/>
          <w:color w:val="auto"/>
          <w:spacing w:val="2"/>
          <w:sz w:val="30"/>
          <w:szCs w:val="30"/>
          <w:highlight w:val="none"/>
        </w:rPr>
      </w:pPr>
      <w:r>
        <w:rPr>
          <w:rFonts w:ascii="黑体" w:hAnsi="黑体" w:eastAsia="黑体" w:cs="黑体"/>
          <w:color w:val="auto"/>
          <w:spacing w:val="7"/>
          <w:sz w:val="30"/>
          <w:szCs w:val="30"/>
          <w:highlight w:val="none"/>
        </w:rPr>
        <w:t>盐城市</w:t>
      </w:r>
      <w:r>
        <w:rPr>
          <w:rFonts w:hint="eastAsia" w:ascii="黑体" w:hAnsi="黑体" w:eastAsia="黑体" w:cs="黑体"/>
          <w:color w:val="auto"/>
          <w:spacing w:val="7"/>
          <w:sz w:val="30"/>
          <w:szCs w:val="30"/>
          <w:highlight w:val="none"/>
        </w:rPr>
        <w:t>大丰区新丰</w:t>
      </w:r>
      <w:r>
        <w:rPr>
          <w:rFonts w:ascii="黑体" w:hAnsi="黑体" w:eastAsia="黑体" w:cs="黑体"/>
          <w:color w:val="auto"/>
          <w:spacing w:val="7"/>
          <w:sz w:val="30"/>
          <w:szCs w:val="30"/>
          <w:highlight w:val="none"/>
        </w:rPr>
        <w:t>中学</w:t>
      </w:r>
    </w:p>
    <w:p w14:paraId="75EC8B97">
      <w:pPr>
        <w:widowControl/>
        <w:spacing w:before="101" w:line="295" w:lineRule="auto"/>
        <w:jc w:val="center"/>
        <w:rPr>
          <w:rFonts w:hint="eastAsia" w:ascii="黑体" w:hAnsi="黑体" w:eastAsia="黑体" w:cs="黑体"/>
          <w:color w:val="auto"/>
          <w:sz w:val="30"/>
          <w:szCs w:val="30"/>
          <w:highlight w:val="none"/>
        </w:rPr>
      </w:pPr>
      <w:r>
        <w:rPr>
          <w:rFonts w:ascii="黑体" w:hAnsi="黑体" w:eastAsia="黑体" w:cs="黑体"/>
          <w:color w:val="auto"/>
          <w:spacing w:val="-1"/>
          <w:sz w:val="30"/>
          <w:szCs w:val="30"/>
          <w:highlight w:val="none"/>
        </w:rPr>
        <w:t>202</w:t>
      </w:r>
      <w:r>
        <w:rPr>
          <w:rFonts w:hint="eastAsia" w:ascii="黑体" w:hAnsi="黑体" w:eastAsia="黑体" w:cs="黑体"/>
          <w:color w:val="auto"/>
          <w:spacing w:val="-1"/>
          <w:sz w:val="30"/>
          <w:szCs w:val="30"/>
          <w:highlight w:val="none"/>
          <w:lang w:val="en-US" w:eastAsia="zh-CN"/>
        </w:rPr>
        <w:t>6</w:t>
      </w:r>
      <w:r>
        <w:rPr>
          <w:rFonts w:ascii="黑体" w:hAnsi="黑体" w:eastAsia="黑体" w:cs="黑体"/>
          <w:color w:val="auto"/>
          <w:spacing w:val="-58"/>
          <w:sz w:val="30"/>
          <w:szCs w:val="30"/>
          <w:highlight w:val="none"/>
        </w:rPr>
        <w:t xml:space="preserve"> </w:t>
      </w:r>
      <w:r>
        <w:rPr>
          <w:rFonts w:ascii="黑体" w:hAnsi="黑体" w:eastAsia="黑体" w:cs="黑体"/>
          <w:color w:val="auto"/>
          <w:spacing w:val="-1"/>
          <w:sz w:val="30"/>
          <w:szCs w:val="30"/>
          <w:highlight w:val="none"/>
        </w:rPr>
        <w:t>年</w:t>
      </w:r>
      <w:r>
        <w:rPr>
          <w:rFonts w:ascii="黑体" w:hAnsi="黑体" w:eastAsia="黑体" w:cs="黑体"/>
          <w:color w:val="auto"/>
          <w:spacing w:val="-63"/>
          <w:sz w:val="30"/>
          <w:szCs w:val="30"/>
          <w:highlight w:val="none"/>
        </w:rPr>
        <w:t xml:space="preserve"> </w:t>
      </w:r>
      <w:r>
        <w:rPr>
          <w:rFonts w:hint="eastAsia" w:ascii="黑体" w:hAnsi="黑体" w:eastAsia="黑体" w:cs="黑体"/>
          <w:color w:val="auto"/>
          <w:spacing w:val="-1"/>
          <w:sz w:val="30"/>
          <w:szCs w:val="30"/>
          <w:highlight w:val="none"/>
          <w:lang w:val="en-US" w:eastAsia="zh-CN"/>
        </w:rPr>
        <w:t>5</w:t>
      </w:r>
      <w:r>
        <w:rPr>
          <w:rFonts w:ascii="黑体" w:hAnsi="黑体" w:eastAsia="黑体" w:cs="黑体"/>
          <w:color w:val="auto"/>
          <w:spacing w:val="-55"/>
          <w:sz w:val="30"/>
          <w:szCs w:val="30"/>
          <w:highlight w:val="none"/>
        </w:rPr>
        <w:t xml:space="preserve"> </w:t>
      </w:r>
      <w:r>
        <w:rPr>
          <w:rFonts w:ascii="黑体" w:hAnsi="黑体" w:eastAsia="黑体" w:cs="黑体"/>
          <w:color w:val="auto"/>
          <w:spacing w:val="-1"/>
          <w:sz w:val="30"/>
          <w:szCs w:val="30"/>
          <w:highlight w:val="none"/>
        </w:rPr>
        <w:t>月</w:t>
      </w:r>
    </w:p>
    <w:p w14:paraId="4567C041">
      <w:pPr>
        <w:pStyle w:val="33"/>
        <w:spacing w:before="120" w:beforeAutospacing="0" w:after="120" w:afterAutospacing="0" w:line="360" w:lineRule="auto"/>
        <w:rPr>
          <w:color w:val="auto"/>
          <w:highlight w:val="none"/>
        </w:rPr>
      </w:pPr>
      <w:r>
        <w:rPr>
          <w:rFonts w:ascii="Arial" w:hAnsi="Arial" w:cs="Arial"/>
          <w:color w:val="auto"/>
          <w:highlight w:val="none"/>
        </w:rPr>
        <w:t xml:space="preserve">                        </w:t>
      </w:r>
    </w:p>
    <w:p w14:paraId="6A9B90AE">
      <w:pPr>
        <w:pStyle w:val="33"/>
        <w:spacing w:beforeAutospacing="0" w:afterAutospacing="0" w:line="480" w:lineRule="auto"/>
        <w:jc w:val="center"/>
        <w:rPr>
          <w:rFonts w:ascii="Times New Roman" w:hAnsi="Times New Roman"/>
          <w:color w:val="auto"/>
          <w:sz w:val="21"/>
          <w:szCs w:val="21"/>
          <w:highlight w:val="none"/>
        </w:rPr>
        <w:sectPr>
          <w:pgSz w:w="11906" w:h="16838"/>
          <w:pgMar w:top="1134" w:right="1134" w:bottom="1134" w:left="1134" w:header="851" w:footer="992" w:gutter="0"/>
          <w:pgNumType w:start="1"/>
          <w:cols w:space="425" w:num="1"/>
          <w:docGrid w:linePitch="360" w:charSpace="0"/>
        </w:sectPr>
      </w:pPr>
    </w:p>
    <w:p w14:paraId="01F47A5F">
      <w:pPr>
        <w:pStyle w:val="33"/>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513029200"/>
      <w:bookmarkStart w:id="1" w:name="_Toc523127445"/>
      <w:bookmarkStart w:id="2" w:name="_Toc20823272"/>
      <w:bookmarkStart w:id="3" w:name="_Toc479757206"/>
      <w:bookmarkStart w:id="4" w:name="_Toc120614210"/>
      <w:bookmarkStart w:id="5" w:name="_Toc16938516"/>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22EDCCCF">
      <w:pPr>
        <w:pStyle w:val="33"/>
        <w:spacing w:beforeAutospacing="0" w:afterAutospacing="0" w:line="480" w:lineRule="auto"/>
        <w:jc w:val="both"/>
        <w:rPr>
          <w:color w:val="auto"/>
          <w:highlight w:val="none"/>
        </w:rPr>
      </w:pPr>
      <w:r>
        <w:rPr>
          <w:color w:val="auto"/>
          <w:highlight w:val="none"/>
        </w:rPr>
        <w:t> </w:t>
      </w:r>
    </w:p>
    <w:p w14:paraId="31AC792D">
      <w:pPr>
        <w:pStyle w:val="33"/>
        <w:tabs>
          <w:tab w:val="left" w:pos="1441"/>
        </w:tabs>
        <w:spacing w:beforeAutospacing="0" w:afterAutospacing="0" w:line="600" w:lineRule="auto"/>
        <w:ind w:left="2160" w:hanging="1440"/>
        <w:jc w:val="both"/>
        <w:rPr>
          <w:color w:val="auto"/>
          <w:highlight w:val="none"/>
        </w:rPr>
      </w:pPr>
      <w:r>
        <w:rPr>
          <w:rFonts w:hint="eastAsia" w:ascii="黑体" w:hAnsi="宋体" w:eastAsia="黑体" w:cs="黑体"/>
          <w:color w:val="auto"/>
          <w:sz w:val="36"/>
          <w:szCs w:val="36"/>
          <w:highlight w:val="none"/>
        </w:rPr>
        <w:t xml:space="preserve">第一章  招标公告 </w:t>
      </w:r>
    </w:p>
    <w:p w14:paraId="1131AE09">
      <w:pPr>
        <w:pStyle w:val="33"/>
        <w:tabs>
          <w:tab w:val="left" w:pos="1441"/>
        </w:tabs>
        <w:spacing w:beforeAutospacing="0" w:afterAutospacing="0" w:line="600" w:lineRule="auto"/>
        <w:ind w:left="2160" w:hanging="1440"/>
        <w:jc w:val="both"/>
        <w:rPr>
          <w:color w:val="auto"/>
          <w:highlight w:val="none"/>
        </w:rPr>
      </w:pPr>
      <w:r>
        <w:rPr>
          <w:rFonts w:hint="eastAsia" w:ascii="黑体" w:hAnsi="宋体" w:eastAsia="黑体" w:cs="黑体"/>
          <w:color w:val="auto"/>
          <w:sz w:val="36"/>
          <w:szCs w:val="36"/>
          <w:highlight w:val="none"/>
        </w:rPr>
        <w:t xml:space="preserve">第二章  投标人须知  </w:t>
      </w:r>
    </w:p>
    <w:p w14:paraId="2CBED8F0">
      <w:pPr>
        <w:pStyle w:val="33"/>
        <w:tabs>
          <w:tab w:val="left" w:pos="1441"/>
        </w:tabs>
        <w:spacing w:beforeAutospacing="0" w:afterAutospacing="0" w:line="600" w:lineRule="auto"/>
        <w:ind w:left="2160" w:hanging="1440"/>
        <w:jc w:val="both"/>
        <w:rPr>
          <w:color w:val="auto"/>
          <w:highlight w:val="none"/>
        </w:rPr>
      </w:pPr>
      <w:r>
        <w:rPr>
          <w:rFonts w:hint="eastAsia" w:ascii="黑体" w:hAnsi="宋体" w:eastAsia="黑体" w:cs="黑体"/>
          <w:color w:val="auto"/>
          <w:sz w:val="36"/>
          <w:szCs w:val="36"/>
          <w:highlight w:val="none"/>
        </w:rPr>
        <w:t>第三章  合同文本</w:t>
      </w:r>
    </w:p>
    <w:p w14:paraId="1A69B5BB">
      <w:pPr>
        <w:pStyle w:val="33"/>
        <w:tabs>
          <w:tab w:val="left" w:pos="1441"/>
        </w:tabs>
        <w:spacing w:beforeAutospacing="0" w:afterAutospacing="0" w:line="600" w:lineRule="auto"/>
        <w:ind w:left="2160" w:hanging="1440"/>
        <w:jc w:val="both"/>
        <w:rPr>
          <w:color w:val="auto"/>
          <w:highlight w:val="none"/>
        </w:rPr>
      </w:pPr>
      <w:r>
        <w:rPr>
          <w:rFonts w:hint="eastAsia" w:ascii="黑体" w:hAnsi="宋体" w:eastAsia="黑体" w:cs="黑体"/>
          <w:color w:val="auto"/>
          <w:sz w:val="36"/>
          <w:szCs w:val="36"/>
          <w:highlight w:val="none"/>
        </w:rPr>
        <w:t>第四章  服务需求</w:t>
      </w:r>
    </w:p>
    <w:p w14:paraId="3BBBC547">
      <w:pPr>
        <w:pStyle w:val="33"/>
        <w:tabs>
          <w:tab w:val="left" w:pos="1441"/>
        </w:tabs>
        <w:spacing w:beforeAutospacing="0" w:afterAutospacing="0" w:line="600" w:lineRule="auto"/>
        <w:ind w:left="2160" w:hanging="1440"/>
        <w:jc w:val="both"/>
        <w:rPr>
          <w:color w:val="auto"/>
          <w:highlight w:val="none"/>
        </w:rPr>
      </w:pPr>
      <w:r>
        <w:rPr>
          <w:rFonts w:hint="eastAsia" w:ascii="黑体" w:hAnsi="宋体" w:eastAsia="黑体" w:cs="黑体"/>
          <w:color w:val="auto"/>
          <w:sz w:val="36"/>
          <w:szCs w:val="36"/>
          <w:highlight w:val="none"/>
        </w:rPr>
        <w:t>第五章  评标方法与评标标准</w:t>
      </w:r>
    </w:p>
    <w:p w14:paraId="0A2CE36C">
      <w:pPr>
        <w:pStyle w:val="33"/>
        <w:tabs>
          <w:tab w:val="left" w:pos="1441"/>
        </w:tabs>
        <w:spacing w:beforeAutospacing="0" w:afterAutospacing="0" w:line="600" w:lineRule="auto"/>
        <w:ind w:left="2160" w:hanging="1440"/>
        <w:jc w:val="both"/>
        <w:rPr>
          <w:color w:val="auto"/>
          <w:highlight w:val="none"/>
        </w:rPr>
      </w:pPr>
      <w:r>
        <w:rPr>
          <w:rFonts w:hint="eastAsia" w:ascii="黑体" w:hAnsi="宋体" w:eastAsia="黑体" w:cs="黑体"/>
          <w:color w:val="auto"/>
          <w:sz w:val="36"/>
          <w:szCs w:val="36"/>
          <w:highlight w:val="none"/>
        </w:rPr>
        <w:t>第六章  投标文件格式</w:t>
      </w:r>
    </w:p>
    <w:p w14:paraId="609724A9">
      <w:pPr>
        <w:pStyle w:val="33"/>
        <w:spacing w:beforeAutospacing="0" w:afterAutospacing="0"/>
        <w:jc w:val="both"/>
        <w:rPr>
          <w:color w:val="auto"/>
          <w:highlight w:val="none"/>
        </w:rPr>
      </w:pPr>
      <w:r>
        <w:rPr>
          <w:color w:val="auto"/>
          <w:highlight w:val="none"/>
        </w:rPr>
        <w:t> </w:t>
      </w:r>
    </w:p>
    <w:p w14:paraId="7BA00D2B">
      <w:pPr>
        <w:pStyle w:val="33"/>
        <w:spacing w:beforeAutospacing="0" w:afterAutospacing="0"/>
        <w:jc w:val="both"/>
        <w:rPr>
          <w:color w:val="auto"/>
          <w:highlight w:val="none"/>
        </w:rPr>
      </w:pPr>
      <w:r>
        <w:rPr>
          <w:color w:val="auto"/>
          <w:highlight w:val="none"/>
        </w:rPr>
        <w:t> </w:t>
      </w:r>
    </w:p>
    <w:p w14:paraId="5B680324">
      <w:pPr>
        <w:pStyle w:val="33"/>
        <w:spacing w:beforeAutospacing="0" w:afterAutospacing="0"/>
        <w:jc w:val="both"/>
        <w:rPr>
          <w:color w:val="auto"/>
          <w:highlight w:val="none"/>
        </w:rPr>
      </w:pPr>
      <w:r>
        <w:rPr>
          <w:color w:val="auto"/>
          <w:highlight w:val="none"/>
        </w:rPr>
        <w:t> </w:t>
      </w:r>
    </w:p>
    <w:p w14:paraId="6152F4EF">
      <w:pPr>
        <w:pStyle w:val="33"/>
        <w:spacing w:beforeAutospacing="0" w:afterAutospacing="0"/>
        <w:jc w:val="both"/>
        <w:rPr>
          <w:color w:val="auto"/>
          <w:highlight w:val="none"/>
        </w:rPr>
      </w:pPr>
      <w:r>
        <w:rPr>
          <w:color w:val="auto"/>
          <w:highlight w:val="none"/>
        </w:rPr>
        <w:t> </w:t>
      </w:r>
    </w:p>
    <w:p w14:paraId="6BB99B89">
      <w:pPr>
        <w:pStyle w:val="33"/>
        <w:spacing w:beforeAutospacing="0" w:afterAutospacing="0"/>
        <w:jc w:val="both"/>
        <w:rPr>
          <w:color w:val="auto"/>
          <w:highlight w:val="none"/>
        </w:rPr>
      </w:pPr>
      <w:r>
        <w:rPr>
          <w:color w:val="auto"/>
          <w:highlight w:val="none"/>
        </w:rPr>
        <w:t> </w:t>
      </w:r>
    </w:p>
    <w:p w14:paraId="5B621597">
      <w:pPr>
        <w:pStyle w:val="33"/>
        <w:spacing w:beforeAutospacing="0" w:afterAutospacing="0"/>
        <w:jc w:val="both"/>
        <w:rPr>
          <w:color w:val="auto"/>
          <w:highlight w:val="none"/>
        </w:rPr>
      </w:pPr>
      <w:r>
        <w:rPr>
          <w:color w:val="auto"/>
          <w:highlight w:val="none"/>
        </w:rPr>
        <w:t> </w:t>
      </w:r>
    </w:p>
    <w:p w14:paraId="716E56D5">
      <w:pPr>
        <w:pStyle w:val="33"/>
        <w:spacing w:beforeAutospacing="0" w:afterAutospacing="0"/>
        <w:jc w:val="both"/>
        <w:rPr>
          <w:color w:val="auto"/>
          <w:highlight w:val="none"/>
        </w:rPr>
      </w:pPr>
      <w:r>
        <w:rPr>
          <w:color w:val="auto"/>
          <w:highlight w:val="none"/>
        </w:rPr>
        <w:t> </w:t>
      </w:r>
    </w:p>
    <w:p w14:paraId="5A3C2ED6">
      <w:pPr>
        <w:pStyle w:val="33"/>
        <w:spacing w:beforeAutospacing="0" w:afterAutospacing="0"/>
        <w:jc w:val="both"/>
        <w:rPr>
          <w:color w:val="auto"/>
          <w:highlight w:val="none"/>
        </w:rPr>
      </w:pPr>
      <w:r>
        <w:rPr>
          <w:color w:val="auto"/>
          <w:highlight w:val="none"/>
        </w:rPr>
        <w:t> </w:t>
      </w:r>
    </w:p>
    <w:p w14:paraId="7A30F9B4">
      <w:pPr>
        <w:pStyle w:val="33"/>
        <w:spacing w:beforeAutospacing="0" w:afterAutospacing="0"/>
        <w:jc w:val="both"/>
        <w:rPr>
          <w:color w:val="auto"/>
          <w:highlight w:val="none"/>
        </w:rPr>
      </w:pPr>
      <w:r>
        <w:rPr>
          <w:color w:val="auto"/>
          <w:highlight w:val="none"/>
        </w:rPr>
        <w:t> </w:t>
      </w:r>
    </w:p>
    <w:p w14:paraId="4E307E7E">
      <w:pPr>
        <w:pStyle w:val="33"/>
        <w:spacing w:beforeAutospacing="0" w:afterAutospacing="0"/>
        <w:jc w:val="both"/>
        <w:rPr>
          <w:color w:val="auto"/>
          <w:highlight w:val="none"/>
        </w:rPr>
      </w:pPr>
      <w:r>
        <w:rPr>
          <w:color w:val="auto"/>
          <w:highlight w:val="none"/>
        </w:rPr>
        <w:t> </w:t>
      </w:r>
    </w:p>
    <w:p w14:paraId="7E1A6757">
      <w:pPr>
        <w:pStyle w:val="33"/>
        <w:spacing w:beforeAutospacing="0" w:afterAutospacing="0"/>
        <w:jc w:val="both"/>
        <w:rPr>
          <w:color w:val="auto"/>
          <w:highlight w:val="none"/>
        </w:rPr>
      </w:pPr>
      <w:r>
        <w:rPr>
          <w:color w:val="auto"/>
          <w:highlight w:val="none"/>
        </w:rPr>
        <w:t> </w:t>
      </w:r>
    </w:p>
    <w:p w14:paraId="6A25BA7D">
      <w:pPr>
        <w:pStyle w:val="33"/>
        <w:spacing w:beforeAutospacing="0" w:afterAutospacing="0"/>
        <w:jc w:val="both"/>
        <w:rPr>
          <w:color w:val="auto"/>
          <w:highlight w:val="none"/>
        </w:rPr>
      </w:pPr>
      <w:r>
        <w:rPr>
          <w:color w:val="auto"/>
          <w:highlight w:val="none"/>
        </w:rPr>
        <w:t> </w:t>
      </w:r>
    </w:p>
    <w:p w14:paraId="3F3A1C1A">
      <w:pPr>
        <w:pStyle w:val="33"/>
        <w:spacing w:beforeAutospacing="0" w:afterAutospacing="0"/>
        <w:jc w:val="both"/>
        <w:rPr>
          <w:color w:val="auto"/>
          <w:highlight w:val="none"/>
        </w:rPr>
      </w:pPr>
      <w:r>
        <w:rPr>
          <w:color w:val="auto"/>
          <w:highlight w:val="none"/>
        </w:rPr>
        <w:t> </w:t>
      </w:r>
    </w:p>
    <w:p w14:paraId="3B55C875">
      <w:pPr>
        <w:pStyle w:val="33"/>
        <w:spacing w:beforeAutospacing="0" w:afterAutospacing="0"/>
        <w:jc w:val="both"/>
        <w:rPr>
          <w:color w:val="auto"/>
          <w:highlight w:val="none"/>
        </w:rPr>
      </w:pPr>
      <w:r>
        <w:rPr>
          <w:color w:val="auto"/>
          <w:highlight w:val="none"/>
        </w:rPr>
        <w:t> </w:t>
      </w:r>
    </w:p>
    <w:p w14:paraId="6849CE02">
      <w:pPr>
        <w:pStyle w:val="33"/>
        <w:spacing w:beforeAutospacing="0" w:afterAutospacing="0"/>
        <w:jc w:val="both"/>
        <w:rPr>
          <w:color w:val="auto"/>
          <w:highlight w:val="none"/>
        </w:rPr>
      </w:pPr>
      <w:r>
        <w:rPr>
          <w:color w:val="auto"/>
          <w:highlight w:val="none"/>
        </w:rPr>
        <w:t> </w:t>
      </w:r>
    </w:p>
    <w:p w14:paraId="01B0447F">
      <w:pPr>
        <w:pStyle w:val="33"/>
        <w:spacing w:beforeAutospacing="0" w:afterAutospacing="0"/>
        <w:jc w:val="both"/>
        <w:rPr>
          <w:color w:val="auto"/>
          <w:highlight w:val="none"/>
        </w:rPr>
      </w:pPr>
      <w:r>
        <w:rPr>
          <w:color w:val="auto"/>
          <w:highlight w:val="none"/>
        </w:rPr>
        <w:t> </w:t>
      </w:r>
    </w:p>
    <w:p w14:paraId="46481B88">
      <w:pPr>
        <w:pStyle w:val="33"/>
        <w:spacing w:beforeAutospacing="0" w:afterAutospacing="0"/>
        <w:jc w:val="both"/>
        <w:rPr>
          <w:color w:val="auto"/>
          <w:highlight w:val="none"/>
        </w:rPr>
      </w:pPr>
      <w:r>
        <w:rPr>
          <w:color w:val="auto"/>
          <w:highlight w:val="none"/>
        </w:rPr>
        <w:t> </w:t>
      </w:r>
    </w:p>
    <w:p w14:paraId="368433DB">
      <w:pPr>
        <w:pStyle w:val="33"/>
        <w:spacing w:beforeAutospacing="0" w:afterAutospacing="0"/>
        <w:jc w:val="both"/>
        <w:rPr>
          <w:color w:val="auto"/>
          <w:highlight w:val="none"/>
        </w:rPr>
      </w:pPr>
      <w:r>
        <w:rPr>
          <w:color w:val="auto"/>
          <w:highlight w:val="none"/>
        </w:rPr>
        <w:t> </w:t>
      </w:r>
    </w:p>
    <w:p w14:paraId="7976FC99">
      <w:pPr>
        <w:pStyle w:val="33"/>
        <w:spacing w:beforeAutospacing="0" w:afterAutospacing="0"/>
        <w:jc w:val="center"/>
        <w:rPr>
          <w:color w:val="auto"/>
          <w:highlight w:val="none"/>
        </w:rPr>
      </w:pPr>
      <w:r>
        <w:rPr>
          <w:color w:val="auto"/>
          <w:highlight w:val="none"/>
        </w:rPr>
        <w:t> </w:t>
      </w:r>
      <w:r>
        <w:rPr>
          <w:rFonts w:hint="eastAsia" w:ascii="黑体" w:hAnsi="宋体" w:eastAsia="黑体" w:cs="黑体"/>
          <w:color w:val="auto"/>
          <w:sz w:val="44"/>
          <w:szCs w:val="44"/>
          <w:highlight w:val="none"/>
        </w:rPr>
        <w:t>第一章 招标公告</w:t>
      </w:r>
    </w:p>
    <w:p w14:paraId="010967FE">
      <w:pPr>
        <w:pStyle w:val="33"/>
        <w:pBdr>
          <w:top w:val="single" w:color="000000" w:sz="4" w:space="0"/>
          <w:left w:val="single" w:color="000000" w:sz="4" w:space="0"/>
          <w:bottom w:val="single" w:color="000000" w:sz="4" w:space="0"/>
          <w:right w:val="single" w:color="000000" w:sz="4" w:space="0"/>
        </w:pBdr>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787040D3">
      <w:pPr>
        <w:pStyle w:val="33"/>
        <w:pBdr>
          <w:top w:val="single" w:color="000000" w:sz="4" w:space="0"/>
          <w:left w:val="single" w:color="000000" w:sz="4" w:space="0"/>
          <w:bottom w:val="single" w:color="000000" w:sz="4" w:space="0"/>
          <w:right w:val="single" w:color="000000" w:sz="4" w:space="0"/>
        </w:pBdr>
        <w:spacing w:beforeAutospacing="0" w:afterAutospacing="0" w:line="348" w:lineRule="auto"/>
        <w:ind w:firstLine="480"/>
        <w:jc w:val="both"/>
        <w:rPr>
          <w:rFonts w:hint="eastAsia" w:ascii="宋体" w:hAnsi="宋体" w:eastAsia="宋体" w:cs="宋体"/>
          <w:color w:val="auto"/>
          <w:highlight w:val="none"/>
        </w:rPr>
      </w:pPr>
      <w:r>
        <w:rPr>
          <w:rFonts w:hint="eastAsia"/>
          <w:color w:val="auto"/>
          <w:highlight w:val="none"/>
          <w:u w:val="single"/>
          <w:lang w:eastAsia="zh-CN"/>
        </w:rPr>
        <w:t xml:space="preserve"> </w:t>
      </w:r>
      <w:r>
        <w:rPr>
          <w:rFonts w:hint="eastAsia" w:ascii="宋体" w:hAnsi="宋体" w:eastAsia="宋体" w:cs="宋体"/>
          <w:color w:val="auto"/>
          <w:highlight w:val="none"/>
          <w:u w:val="single"/>
          <w:lang w:eastAsia="zh-CN"/>
        </w:rPr>
        <w:t>盐城市大丰区新丰中学 2026-2027 学年度食堂餐饮服务项目</w:t>
      </w:r>
      <w:r>
        <w:rPr>
          <w:rFonts w:hint="eastAsia" w:ascii="宋体" w:hAnsi="宋体" w:eastAsia="宋体" w:cs="宋体"/>
          <w:color w:val="auto"/>
          <w:highlight w:val="none"/>
          <w:u w:val="single"/>
        </w:rPr>
        <w:t xml:space="preserve"> </w:t>
      </w:r>
      <w:r>
        <w:rPr>
          <w:rFonts w:hint="eastAsia"/>
          <w:color w:val="auto"/>
          <w:highlight w:val="none"/>
        </w:rPr>
        <w:t>招标项目</w:t>
      </w:r>
      <w:r>
        <w:rPr>
          <w:rFonts w:hint="eastAsia" w:ascii="宋体" w:hAnsi="宋体" w:eastAsia="宋体" w:cs="宋体"/>
          <w:color w:val="auto"/>
          <w:highlight w:val="none"/>
        </w:rPr>
        <w:t>的潜在投标人应在</w:t>
      </w:r>
      <w:r>
        <w:rPr>
          <w:rFonts w:hint="eastAsia" w:ascii="宋体" w:hAnsi="宋体" w:eastAsia="宋体" w:cs="宋体"/>
          <w:color w:val="auto"/>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highlight w:val="none"/>
        </w:rPr>
        <w:t>，并于</w:t>
      </w: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年</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u w:val="single"/>
        </w:rPr>
        <w:t>日10点00分（</w:t>
      </w:r>
      <w:r>
        <w:rPr>
          <w:rFonts w:hint="eastAsia" w:ascii="宋体" w:hAnsi="宋体" w:eastAsia="宋体" w:cs="宋体"/>
          <w:color w:val="auto"/>
          <w:highlight w:val="none"/>
        </w:rPr>
        <w:t>北京时间）前递交投标文件。</w:t>
      </w:r>
    </w:p>
    <w:p w14:paraId="3E0F4451">
      <w:pPr>
        <w:pStyle w:val="33"/>
        <w:keepNext/>
        <w:keepLines/>
        <w:spacing w:before="145" w:beforeAutospacing="0" w:after="70" w:afterAutospacing="0" w:line="348" w:lineRule="auto"/>
        <w:ind w:firstLine="498"/>
        <w:jc w:val="both"/>
        <w:rPr>
          <w:rFonts w:hint="eastAsia" w:ascii="宋体" w:hAnsi="宋体" w:eastAsia="宋体" w:cs="宋体"/>
          <w:color w:val="auto"/>
          <w:highlight w:val="none"/>
        </w:rPr>
      </w:pPr>
      <w:bookmarkStart w:id="6" w:name="_Toc28359002"/>
      <w:bookmarkStart w:id="7" w:name="_Toc28359079"/>
      <w:bookmarkStart w:id="8" w:name="_Toc35393621"/>
      <w:bookmarkStart w:id="9" w:name="_Hlk24379207"/>
      <w:bookmarkStart w:id="10" w:name="_Toc35393790"/>
      <w:bookmarkStart w:id="11" w:name="_Toc38985263"/>
      <w:r>
        <w:rPr>
          <w:rFonts w:hint="eastAsia" w:ascii="宋体" w:hAnsi="宋体" w:eastAsia="宋体" w:cs="宋体"/>
          <w:b/>
          <w:color w:val="auto"/>
          <w:highlight w:val="none"/>
        </w:rPr>
        <w:t>一、项目基本情况</w:t>
      </w:r>
      <w:bookmarkEnd w:id="6"/>
      <w:bookmarkEnd w:id="7"/>
      <w:bookmarkEnd w:id="8"/>
      <w:bookmarkEnd w:id="9"/>
      <w:bookmarkEnd w:id="10"/>
      <w:bookmarkEnd w:id="11"/>
    </w:p>
    <w:p w14:paraId="34B0FA98">
      <w:pPr>
        <w:pStyle w:val="33"/>
        <w:spacing w:beforeAutospacing="0" w:afterAutospacing="0" w:line="348"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1.项目编号：</w:t>
      </w:r>
      <w:r>
        <w:rPr>
          <w:rFonts w:hint="eastAsia" w:ascii="宋体" w:hAnsi="宋体" w:eastAsia="宋体" w:cs="宋体"/>
          <w:color w:val="auto"/>
          <w:highlight w:val="none"/>
          <w:lang w:eastAsia="zh-CN"/>
        </w:rPr>
        <w:t>JSZC-320904-HCGL-G2026-0001</w:t>
      </w:r>
    </w:p>
    <w:p w14:paraId="73191030">
      <w:pPr>
        <w:pStyle w:val="33"/>
        <w:spacing w:beforeAutospacing="0" w:afterAutospacing="0" w:line="348"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2.项目名称：</w:t>
      </w:r>
      <w:r>
        <w:rPr>
          <w:rFonts w:hint="eastAsia" w:ascii="宋体" w:hAnsi="宋体" w:eastAsia="宋体" w:cs="宋体"/>
          <w:color w:val="auto"/>
          <w:highlight w:val="none"/>
          <w:lang w:eastAsia="zh-CN"/>
        </w:rPr>
        <w:t>盐城市大丰区新丰中学 2026-2027 学年度食堂餐饮服务项目</w:t>
      </w:r>
    </w:p>
    <w:p w14:paraId="60B5FF06">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3.采购方式：公开招标</w:t>
      </w:r>
    </w:p>
    <w:p w14:paraId="463C44D4">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4.预算金额：人民币15</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000.00元</w:t>
      </w:r>
    </w:p>
    <w:p w14:paraId="751749AB">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5.最高限价：人民币15</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000.00元</w:t>
      </w:r>
    </w:p>
    <w:p w14:paraId="15EA932D">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6.采购需求：</w:t>
      </w:r>
      <w:bookmarkStart w:id="12" w:name="_Hlk205391202"/>
      <w:r>
        <w:rPr>
          <w:rFonts w:hint="eastAsia" w:ascii="宋体" w:hAnsi="宋体" w:eastAsia="宋体" w:cs="宋体"/>
          <w:color w:val="auto"/>
          <w:highlight w:val="none"/>
        </w:rPr>
        <w:t>大丰区新丰中学</w:t>
      </w:r>
      <w:bookmarkEnd w:id="12"/>
      <w:r>
        <w:rPr>
          <w:rFonts w:hint="eastAsia" w:ascii="宋体" w:hAnsi="宋体" w:eastAsia="宋体" w:cs="宋体"/>
          <w:color w:val="auto"/>
          <w:highlight w:val="none"/>
          <w:lang w:eastAsia="zh-CN"/>
        </w:rPr>
        <w:t>2026-2027 学年度食堂餐饮服务</w:t>
      </w:r>
      <w:r>
        <w:rPr>
          <w:rFonts w:hint="eastAsia" w:ascii="宋体" w:hAnsi="宋体" w:eastAsia="宋体" w:cs="宋体"/>
          <w:color w:val="auto"/>
          <w:highlight w:val="none"/>
        </w:rPr>
        <w:t>，具体内容及要求详见招标文件第四章服务需求。</w:t>
      </w:r>
    </w:p>
    <w:p w14:paraId="3FF9F624">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7.合同履行期限：</w:t>
      </w:r>
      <w:bookmarkStart w:id="13" w:name="_Hlk204822276"/>
      <w:r>
        <w:rPr>
          <w:rFonts w:hint="eastAsia" w:ascii="宋体" w:hAnsi="宋体" w:eastAsia="宋体" w:cs="宋体"/>
          <w:color w:val="auto"/>
          <w:highlight w:val="none"/>
        </w:rPr>
        <w:t>一年。</w:t>
      </w:r>
      <w:bookmarkEnd w:id="13"/>
    </w:p>
    <w:p w14:paraId="7B10F314">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 质量标准：考核合格，符合国家相关餐饮行业管理规范要求。</w:t>
      </w:r>
    </w:p>
    <w:p w14:paraId="0D79FEB5">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9.本项目（是/否）接受联合体投标：否</w:t>
      </w:r>
    </w:p>
    <w:p w14:paraId="740BC340">
      <w:pPr>
        <w:pStyle w:val="33"/>
        <w:keepNext/>
        <w:keepLines/>
        <w:spacing w:before="145" w:beforeAutospacing="0" w:after="145" w:afterAutospacing="0" w:line="348" w:lineRule="auto"/>
        <w:ind w:firstLine="498"/>
        <w:jc w:val="both"/>
        <w:rPr>
          <w:rFonts w:hint="eastAsia" w:ascii="宋体" w:hAnsi="宋体" w:eastAsia="宋体" w:cs="宋体"/>
          <w:color w:val="auto"/>
          <w:highlight w:val="none"/>
        </w:rPr>
      </w:pPr>
      <w:bookmarkStart w:id="14" w:name="_Toc38985264"/>
      <w:bookmarkStart w:id="15" w:name="_Toc28359003"/>
      <w:bookmarkStart w:id="16" w:name="_Toc35393791"/>
      <w:bookmarkStart w:id="17" w:name="_Toc28359080"/>
      <w:bookmarkStart w:id="18" w:name="_Toc35393622"/>
      <w:r>
        <w:rPr>
          <w:rFonts w:hint="eastAsia" w:ascii="宋体" w:hAnsi="宋体" w:eastAsia="宋体" w:cs="宋体"/>
          <w:b/>
          <w:color w:val="auto"/>
          <w:highlight w:val="none"/>
        </w:rPr>
        <w:t>二、申请人的资格要求：</w:t>
      </w:r>
      <w:bookmarkEnd w:id="14"/>
      <w:bookmarkEnd w:id="15"/>
      <w:bookmarkEnd w:id="16"/>
      <w:bookmarkEnd w:id="17"/>
      <w:bookmarkEnd w:id="18"/>
    </w:p>
    <w:p w14:paraId="6C6E536B">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600BFB1F">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法人或者其他组织的营业执照等证明文件，自然人的身份证明；</w:t>
      </w:r>
    </w:p>
    <w:p w14:paraId="623B412C">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1.2上一年度的财务状况报告（至少提供资产负债表、利润表、现金流量表，成立不满一年无需提供）；</w:t>
      </w:r>
    </w:p>
    <w:p w14:paraId="5C1385A7">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6B02E246">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2AF49F9D">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783060C2">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38060E48">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F92B936">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1.8 </w:t>
      </w:r>
      <w:r>
        <w:rPr>
          <w:rFonts w:ascii="宋体" w:hAnsi="宋体" w:eastAsia="宋体" w:cs="宋体"/>
          <w:color w:val="auto"/>
          <w:highlight w:val="none"/>
        </w:rPr>
        <w:t>单位负责人为同一人或者存在直接控股、管理关系的不同供应商，不得参加同一合同项下的政府采购活动。</w:t>
      </w:r>
    </w:p>
    <w:p w14:paraId="582C3297">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2.落实政府采购政策需满足的资格要求：无。</w:t>
      </w:r>
    </w:p>
    <w:p w14:paraId="060A34EC">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396D3794">
      <w:pPr>
        <w:pStyle w:val="33"/>
        <w:spacing w:beforeAutospacing="0" w:afterAutospacing="0" w:line="348"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3.1投标人须具有食品经营许可证且食品经营主体业态包括包含餐饮服务经营者或‌集中用餐单位食堂‌（也称“单位食堂”），能承担食品安全责任、社会信誉良好的餐饮服务单位或者符合条件的餐饮管理单位。</w:t>
      </w:r>
    </w:p>
    <w:p w14:paraId="5AE243B8">
      <w:pPr>
        <w:pStyle w:val="33"/>
        <w:keepNext/>
        <w:keepLines/>
        <w:spacing w:before="55" w:beforeAutospacing="0" w:after="55" w:afterAutospacing="0" w:line="348" w:lineRule="auto"/>
        <w:ind w:firstLine="498"/>
        <w:jc w:val="both"/>
        <w:rPr>
          <w:rFonts w:hint="eastAsia" w:ascii="宋体" w:hAnsi="宋体" w:eastAsia="宋体" w:cs="宋体"/>
          <w:color w:val="auto"/>
          <w:highlight w:val="none"/>
        </w:rPr>
      </w:pPr>
      <w:r>
        <w:rPr>
          <w:rFonts w:hint="eastAsia" w:ascii="宋体" w:hAnsi="宋体" w:eastAsia="宋体" w:cs="宋体"/>
          <w:b/>
          <w:color w:val="auto"/>
          <w:highlight w:val="none"/>
        </w:rPr>
        <w:t>三、获取招标文件</w:t>
      </w:r>
    </w:p>
    <w:p w14:paraId="5639BA61">
      <w:pPr>
        <w:widowControl/>
        <w:spacing w:beforeAutospacing="0" w:line="348" w:lineRule="auto"/>
        <w:ind w:firstLine="480"/>
        <w:jc w:val="left"/>
        <w:rPr>
          <w:rFonts w:hint="eastAsia" w:ascii="宋体" w:hAnsi="宋体" w:eastAsia="宋体" w:cs="宋体"/>
          <w:color w:val="auto"/>
          <w:sz w:val="24"/>
          <w:highlight w:val="none"/>
        </w:rPr>
      </w:pPr>
      <w:bookmarkStart w:id="19" w:name="_Toc28359005"/>
      <w:bookmarkStart w:id="20" w:name="_Toc35393793"/>
      <w:bookmarkStart w:id="21" w:name="_Toc28359082"/>
      <w:bookmarkStart w:id="22" w:name="_Toc35393624"/>
      <w:bookmarkStart w:id="23" w:name="_Toc38985266"/>
      <w:r>
        <w:rPr>
          <w:rFonts w:hint="eastAsia" w:ascii="宋体" w:hAnsi="宋体" w:eastAsia="宋体" w:cs="宋体"/>
          <w:color w:val="auto"/>
          <w:sz w:val="24"/>
          <w:highlight w:val="none"/>
        </w:rPr>
        <w:t>1.时间：</w:t>
      </w:r>
      <w:bookmarkEnd w:id="19"/>
      <w:bookmarkEnd w:id="20"/>
      <w:bookmarkEnd w:id="21"/>
      <w:bookmarkEnd w:id="22"/>
      <w:bookmarkEnd w:id="23"/>
      <w:r>
        <w:rPr>
          <w:rFonts w:hint="eastAsia" w:ascii="宋体" w:hAnsi="宋体" w:eastAsia="宋体" w:cs="宋体"/>
          <w:color w:val="auto"/>
          <w:sz w:val="24"/>
          <w:highlight w:val="none"/>
        </w:rPr>
        <w:t>自招标文件公告发布之日起5个工作日。</w:t>
      </w:r>
    </w:p>
    <w:p w14:paraId="42CA853A">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2.地点：“苏采云”系统内免费下载（投标人必须在苏采云系统中获取采购文件，方能参与政府采购项目）；</w:t>
      </w:r>
    </w:p>
    <w:p w14:paraId="05AA9ED5">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3.方式：网上注册登记成功后苏采云系统内免费下载。 </w:t>
      </w:r>
    </w:p>
    <w:p w14:paraId="200F23AB">
      <w:pPr>
        <w:widowControl/>
        <w:spacing w:afterAutospacing="0"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4.售价：0元</w:t>
      </w:r>
    </w:p>
    <w:p w14:paraId="69A31976">
      <w:pPr>
        <w:pStyle w:val="33"/>
        <w:keepNext/>
        <w:keepLines/>
        <w:spacing w:before="100" w:beforeAutospacing="0" w:after="100" w:afterAutospacing="0" w:line="348" w:lineRule="auto"/>
        <w:ind w:firstLine="498"/>
        <w:jc w:val="both"/>
        <w:rPr>
          <w:rFonts w:hint="eastAsia" w:ascii="宋体" w:hAnsi="宋体" w:eastAsia="宋体" w:cs="宋体"/>
          <w:color w:val="auto"/>
          <w:highlight w:val="none"/>
        </w:rPr>
      </w:pPr>
      <w:r>
        <w:rPr>
          <w:rFonts w:hint="eastAsia" w:ascii="宋体" w:hAnsi="宋体" w:eastAsia="宋体" w:cs="宋体"/>
          <w:b/>
          <w:color w:val="auto"/>
          <w:highlight w:val="none"/>
        </w:rPr>
        <w:t>四、提交投标文件截止时间、开标时间和地点</w:t>
      </w:r>
    </w:p>
    <w:p w14:paraId="36D69C11">
      <w:pPr>
        <w:widowControl/>
        <w:spacing w:beforeAutospacing="0"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1.时间：</w:t>
      </w:r>
      <w:r>
        <w:rPr>
          <w:rFonts w:hint="eastAsia" w:ascii="宋体" w:hAnsi="宋体" w:eastAsia="宋体" w:cs="宋体"/>
          <w:color w:val="auto"/>
          <w:sz w:val="24"/>
          <w:highlight w:val="none"/>
          <w:u w:val="single"/>
        </w:rPr>
        <w:t>202</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u w:val="single"/>
        </w:rPr>
        <w:t>年</w:t>
      </w:r>
      <w:r>
        <w:rPr>
          <w:rFonts w:hint="eastAsia" w:ascii="宋体" w:hAnsi="宋体" w:eastAsia="宋体" w:cs="宋体"/>
          <w:color w:val="auto"/>
          <w:sz w:val="24"/>
          <w:highlight w:val="none"/>
          <w:u w:val="single"/>
          <w:lang w:val="en-US" w:eastAsia="zh-CN"/>
        </w:rPr>
        <w:t>6</w:t>
      </w:r>
      <w:r>
        <w:rPr>
          <w:rFonts w:hint="eastAsia" w:ascii="宋体" w:hAnsi="宋体" w:eastAsia="宋体" w:cs="宋体"/>
          <w:color w:val="auto"/>
          <w:sz w:val="24"/>
          <w:highlight w:val="none"/>
          <w:u w:val="single"/>
        </w:rPr>
        <w:t>月</w:t>
      </w:r>
      <w:r>
        <w:rPr>
          <w:rFonts w:hint="eastAsia" w:ascii="宋体" w:hAnsi="宋体" w:eastAsia="宋体" w:cs="宋体"/>
          <w:color w:val="auto"/>
          <w:sz w:val="24"/>
          <w:highlight w:val="none"/>
          <w:u w:val="single"/>
          <w:lang w:val="en-US" w:eastAsia="zh-CN"/>
        </w:rPr>
        <w:t>5</w:t>
      </w:r>
      <w:r>
        <w:rPr>
          <w:rFonts w:hint="eastAsia" w:ascii="宋体" w:hAnsi="宋体" w:eastAsia="宋体" w:cs="宋体"/>
          <w:color w:val="auto"/>
          <w:sz w:val="24"/>
          <w:highlight w:val="none"/>
          <w:u w:val="single"/>
        </w:rPr>
        <w:t>日10点00分</w:t>
      </w:r>
      <w:r>
        <w:rPr>
          <w:rFonts w:hint="eastAsia" w:ascii="宋体" w:hAnsi="宋体" w:eastAsia="宋体" w:cs="宋体"/>
          <w:color w:val="auto"/>
          <w:sz w:val="24"/>
          <w:highlight w:val="none"/>
        </w:rPr>
        <w:t>（北京时间）</w:t>
      </w:r>
      <w:bookmarkStart w:id="212" w:name="_GoBack"/>
      <w:bookmarkEnd w:id="212"/>
    </w:p>
    <w:p w14:paraId="069D2BA3">
      <w:pPr>
        <w:widowControl/>
        <w:spacing w:line="348" w:lineRule="auto"/>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2.地点：</w:t>
      </w:r>
      <w:r>
        <w:rPr>
          <w:rFonts w:hint="eastAsia" w:ascii="宋体" w:hAnsi="宋体" w:eastAsia="宋体" w:cs="宋体"/>
          <w:color w:val="auto"/>
          <w:sz w:val="24"/>
          <w:szCs w:val="20"/>
          <w:highlight w:val="none"/>
        </w:rPr>
        <w:t>“苏采云”(网址:http://jszfcg.jsczt,g/)开标大厅。</w:t>
      </w:r>
    </w:p>
    <w:p w14:paraId="3091467E">
      <w:pPr>
        <w:pStyle w:val="33"/>
        <w:keepNext/>
        <w:keepLines/>
        <w:spacing w:before="145" w:beforeAutospacing="0" w:after="145" w:afterAutospacing="0" w:line="348" w:lineRule="auto"/>
        <w:ind w:firstLine="498"/>
        <w:jc w:val="both"/>
        <w:rPr>
          <w:rFonts w:hint="eastAsia" w:ascii="宋体" w:hAnsi="宋体" w:eastAsia="宋体" w:cs="宋体"/>
          <w:color w:val="auto"/>
          <w:highlight w:val="none"/>
        </w:rPr>
      </w:pPr>
      <w:bookmarkStart w:id="24" w:name="_Toc38985267"/>
      <w:bookmarkStart w:id="25" w:name="_Toc35393794"/>
      <w:bookmarkStart w:id="26" w:name="_Toc35393625"/>
      <w:bookmarkStart w:id="27" w:name="_Toc28359084"/>
      <w:bookmarkStart w:id="28" w:name="_Toc28359007"/>
      <w:r>
        <w:rPr>
          <w:rFonts w:hint="eastAsia" w:ascii="宋体" w:hAnsi="宋体" w:eastAsia="宋体" w:cs="宋体"/>
          <w:b/>
          <w:color w:val="auto"/>
          <w:highlight w:val="none"/>
        </w:rPr>
        <w:t>五、公告期限</w:t>
      </w:r>
      <w:bookmarkEnd w:id="24"/>
      <w:bookmarkEnd w:id="25"/>
      <w:bookmarkEnd w:id="26"/>
      <w:bookmarkEnd w:id="27"/>
      <w:bookmarkEnd w:id="28"/>
    </w:p>
    <w:p w14:paraId="5D5D058B">
      <w:pPr>
        <w:pStyle w:val="33"/>
        <w:widowControl/>
        <w:shd w:val="clear" w:color="auto" w:fill="FFFFFF"/>
        <w:spacing w:beforeAutospacing="0" w:afterAutospacing="0" w:line="348" w:lineRule="auto"/>
        <w:ind w:firstLine="560"/>
        <w:jc w:val="both"/>
        <w:rPr>
          <w:rFonts w:hint="eastAsia" w:ascii="宋体" w:hAnsi="宋体" w:eastAsia="宋体" w:cs="宋体"/>
          <w:color w:val="auto"/>
          <w:highlight w:val="none"/>
          <w:shd w:val="clear" w:color="auto" w:fill="FFFFFF"/>
        </w:rPr>
      </w:pPr>
      <w:bookmarkStart w:id="29" w:name="_Toc38985268"/>
      <w:bookmarkStart w:id="30" w:name="_Toc35393626"/>
      <w:bookmarkStart w:id="31" w:name="_Toc35393795"/>
      <w:r>
        <w:rPr>
          <w:rFonts w:hint="eastAsia" w:ascii="宋体" w:hAnsi="宋体" w:eastAsia="宋体" w:cs="宋体"/>
          <w:color w:val="auto"/>
          <w:highlight w:val="none"/>
        </w:rPr>
        <w:t>自本公告发布之日起5个工作日。</w:t>
      </w:r>
      <w:bookmarkEnd w:id="29"/>
      <w:bookmarkEnd w:id="30"/>
      <w:bookmarkEnd w:id="31"/>
    </w:p>
    <w:p w14:paraId="60CE0BC5">
      <w:pPr>
        <w:pStyle w:val="33"/>
        <w:keepNext/>
        <w:keepLines/>
        <w:spacing w:before="145" w:beforeAutospacing="0" w:after="145" w:afterAutospacing="0" w:line="348" w:lineRule="auto"/>
        <w:ind w:firstLine="498"/>
        <w:jc w:val="both"/>
        <w:rPr>
          <w:rFonts w:hint="eastAsia" w:ascii="宋体" w:hAnsi="宋体" w:eastAsia="宋体" w:cs="宋体"/>
          <w:color w:val="auto"/>
          <w:highlight w:val="none"/>
        </w:rPr>
      </w:pPr>
      <w:r>
        <w:rPr>
          <w:rFonts w:hint="eastAsia" w:ascii="宋体" w:hAnsi="宋体" w:eastAsia="宋体" w:cs="宋体"/>
          <w:b/>
          <w:color w:val="auto"/>
          <w:highlight w:val="none"/>
        </w:rPr>
        <w:t>六、其他补充事宜</w:t>
      </w:r>
    </w:p>
    <w:p w14:paraId="14148D95">
      <w:pPr>
        <w:widowControl/>
        <w:spacing w:line="348" w:lineRule="auto"/>
        <w:ind w:firstLine="480"/>
        <w:jc w:val="left"/>
        <w:rPr>
          <w:rFonts w:hint="eastAsia" w:ascii="宋体" w:hAnsi="宋体" w:eastAsia="宋体" w:cs="宋体"/>
          <w:color w:val="auto"/>
          <w:sz w:val="24"/>
          <w:highlight w:val="none"/>
        </w:rPr>
      </w:pPr>
      <w:bookmarkStart w:id="32" w:name="_Toc28359018"/>
      <w:r>
        <w:rPr>
          <w:rFonts w:hint="eastAsia" w:ascii="宋体" w:hAnsi="宋体" w:eastAsia="宋体" w:cs="宋体"/>
          <w:color w:val="auto"/>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D693274">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3F687D7">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p>
    <w:p w14:paraId="2343A678">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6C70ED37">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p>
    <w:p w14:paraId="30F5FBB1">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p>
    <w:p w14:paraId="789811ED">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p>
    <w:p w14:paraId="5DC55D83">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p>
    <w:p w14:paraId="022E7CB4">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如潜在投标人未按上述要求操作，将自行承担所产生的风险。</w:t>
      </w:r>
    </w:p>
    <w:p w14:paraId="548DA349">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3.有关本次招标的事项若存在变动或修改，敬请及时关注采购代理机构在“中国政府采购网”、“江苏政府采购网”、“盐城市政府采购网”发布的更正公告。</w:t>
      </w:r>
    </w:p>
    <w:p w14:paraId="3D477115">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4.本次招标不收取投标保证金。</w:t>
      </w:r>
    </w:p>
    <w:p w14:paraId="1D780A2B">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七、对本次招标提出询问，请按以下方式联系。</w:t>
      </w:r>
      <w:bookmarkEnd w:id="32"/>
    </w:p>
    <w:p w14:paraId="19877FEC">
      <w:pPr>
        <w:widowControl/>
        <w:spacing w:line="348" w:lineRule="auto"/>
        <w:ind w:firstLine="480"/>
        <w:jc w:val="left"/>
        <w:rPr>
          <w:rFonts w:hint="eastAsia" w:ascii="宋体" w:hAnsi="宋体" w:eastAsia="宋体" w:cs="宋体"/>
          <w:color w:val="auto"/>
          <w:sz w:val="24"/>
          <w:highlight w:val="none"/>
        </w:rPr>
      </w:pPr>
      <w:bookmarkStart w:id="33" w:name="_Toc28359009"/>
      <w:r>
        <w:rPr>
          <w:rFonts w:hint="eastAsia" w:ascii="宋体" w:hAnsi="宋体" w:eastAsia="宋体" w:cs="宋体"/>
          <w:color w:val="auto"/>
          <w:sz w:val="24"/>
          <w:highlight w:val="none"/>
        </w:rPr>
        <w:t>1.采购人信息</w:t>
      </w:r>
    </w:p>
    <w:p w14:paraId="3B682738">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称：盐城市大丰区新丰中学  </w:t>
      </w:r>
    </w:p>
    <w:p w14:paraId="49A3FD48">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bookmarkStart w:id="34" w:name="OLE_LINK7"/>
      <w:r>
        <w:rPr>
          <w:rFonts w:hint="eastAsia" w:ascii="宋体" w:hAnsi="宋体" w:eastAsia="宋体" w:cs="宋体"/>
          <w:color w:val="auto"/>
          <w:sz w:val="24"/>
          <w:highlight w:val="none"/>
        </w:rPr>
        <w:t>盐城市大丰区城东新区北兴路南侧、冬柏路西侧</w:t>
      </w:r>
      <w:bookmarkEnd w:id="34"/>
    </w:p>
    <w:p w14:paraId="43B0683A">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吴先生</w:t>
      </w:r>
      <w:r>
        <w:rPr>
          <w:rFonts w:hint="eastAsia" w:ascii="宋体" w:hAnsi="宋体" w:eastAsia="宋体" w:cs="宋体"/>
          <w:color w:val="auto"/>
          <w:sz w:val="24"/>
          <w:highlight w:val="none"/>
        </w:rPr>
        <w:t xml:space="preserve">              </w:t>
      </w:r>
    </w:p>
    <w:p w14:paraId="198843BC">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val="en-US" w:eastAsia="zh-CN"/>
        </w:rPr>
        <w:t>13962093422</w:t>
      </w:r>
      <w:r>
        <w:rPr>
          <w:rFonts w:hint="eastAsia" w:ascii="宋体" w:hAnsi="宋体" w:eastAsia="宋体" w:cs="宋体"/>
          <w:color w:val="auto"/>
          <w:sz w:val="24"/>
          <w:highlight w:val="none"/>
        </w:rPr>
        <w:t xml:space="preserve">           </w:t>
      </w:r>
    </w:p>
    <w:p w14:paraId="26054953">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7BF42642">
      <w:pPr>
        <w:widowControl/>
        <w:spacing w:line="348" w:lineRule="auto"/>
        <w:ind w:firstLine="480"/>
        <w:jc w:val="left"/>
        <w:rPr>
          <w:rFonts w:hint="eastAsia" w:ascii="宋体" w:hAnsi="宋体" w:eastAsia="宋体" w:cs="宋体"/>
          <w:color w:val="auto"/>
          <w:sz w:val="24"/>
          <w:highlight w:val="none"/>
          <w:lang w:eastAsia="zh-CN"/>
        </w:rPr>
      </w:pPr>
      <w:bookmarkStart w:id="35" w:name="_Toc28359010"/>
      <w:bookmarkStart w:id="36" w:name="_Toc28359087"/>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eastAsia="zh-CN"/>
        </w:rPr>
        <w:t>江苏涵澈工程项目管理有限公司</w:t>
      </w:r>
    </w:p>
    <w:p w14:paraId="7BBDDE27">
      <w:pPr>
        <w:widowControl/>
        <w:spacing w:line="348" w:lineRule="auto"/>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大丰区人民北路与通港大道交汇处（丰尚国际7层）</w:t>
      </w:r>
    </w:p>
    <w:p w14:paraId="5DC4E200">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lang w:eastAsia="zh-CN"/>
        </w:rPr>
        <w:t>韦开平</w:t>
      </w:r>
      <w:r>
        <w:rPr>
          <w:rFonts w:hint="eastAsia" w:ascii="宋体" w:hAnsi="宋体" w:eastAsia="宋体" w:cs="宋体"/>
          <w:color w:val="auto"/>
          <w:sz w:val="24"/>
          <w:highlight w:val="none"/>
        </w:rPr>
        <w:t xml:space="preserve">                     </w:t>
      </w:r>
    </w:p>
    <w:p w14:paraId="48196F4F">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eastAsia="zh-CN"/>
        </w:rPr>
        <w:t>17361771856</w:t>
      </w:r>
      <w:r>
        <w:rPr>
          <w:rFonts w:hint="eastAsia" w:ascii="宋体" w:hAnsi="宋体" w:eastAsia="宋体" w:cs="宋体"/>
          <w:color w:val="auto"/>
          <w:sz w:val="24"/>
          <w:highlight w:val="none"/>
        </w:rPr>
        <w:t>       </w:t>
      </w:r>
      <w:bookmarkEnd w:id="35"/>
      <w:bookmarkEnd w:id="36"/>
      <w:r>
        <w:rPr>
          <w:rFonts w:hint="eastAsia" w:ascii="宋体" w:hAnsi="宋体" w:eastAsia="宋体" w:cs="宋体"/>
          <w:color w:val="auto"/>
          <w:sz w:val="24"/>
          <w:highlight w:val="none"/>
        </w:rPr>
        <w:t xml:space="preserve">            </w:t>
      </w:r>
    </w:p>
    <w:p w14:paraId="2D9BB9BC">
      <w:pPr>
        <w:widowControl/>
        <w:spacing w:line="348" w:lineRule="auto"/>
        <w:ind w:firstLine="480"/>
        <w:jc w:val="left"/>
        <w:rPr>
          <w:rFonts w:hint="eastAsia" w:ascii="宋体" w:hAnsi="宋体" w:eastAsia="宋体" w:cs="宋体"/>
          <w:color w:val="auto"/>
          <w:sz w:val="24"/>
          <w:highlight w:val="none"/>
        </w:rPr>
      </w:pPr>
      <w:bookmarkStart w:id="37" w:name="_Toc28359021"/>
      <w:r>
        <w:rPr>
          <w:rFonts w:hint="eastAsia" w:ascii="宋体" w:hAnsi="宋体" w:eastAsia="宋体" w:cs="宋体"/>
          <w:color w:val="auto"/>
          <w:sz w:val="24"/>
          <w:highlight w:val="none"/>
        </w:rPr>
        <w:t>3.</w:t>
      </w:r>
      <w:bookmarkEnd w:id="37"/>
      <w:r>
        <w:rPr>
          <w:rFonts w:hint="eastAsia" w:ascii="宋体" w:hAnsi="宋体" w:eastAsia="宋体" w:cs="宋体"/>
          <w:color w:val="auto"/>
          <w:sz w:val="24"/>
          <w:highlight w:val="none"/>
        </w:rPr>
        <w:t>项目联系方式</w:t>
      </w:r>
    </w:p>
    <w:p w14:paraId="7C6F2C92">
      <w:pPr>
        <w:widowControl/>
        <w:spacing w:line="348" w:lineRule="auto"/>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项目联系人：</w:t>
      </w:r>
      <w:r>
        <w:rPr>
          <w:rFonts w:hint="eastAsia" w:ascii="宋体" w:hAnsi="宋体" w:eastAsia="宋体" w:cs="宋体"/>
          <w:color w:val="auto"/>
          <w:sz w:val="24"/>
          <w:highlight w:val="none"/>
          <w:lang w:eastAsia="zh-CN"/>
        </w:rPr>
        <w:t>韦开平</w:t>
      </w:r>
    </w:p>
    <w:p w14:paraId="0A506AB4">
      <w:pPr>
        <w:widowControl/>
        <w:spacing w:line="348"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lang w:eastAsia="zh-CN"/>
        </w:rPr>
        <w:t>17361771856</w:t>
      </w:r>
      <w:r>
        <w:rPr>
          <w:rFonts w:hint="eastAsia" w:ascii="宋体" w:hAnsi="宋体" w:eastAsia="宋体" w:cs="宋体"/>
          <w:color w:val="auto"/>
          <w:sz w:val="24"/>
          <w:highlight w:val="none"/>
        </w:rPr>
        <w:t>　</w:t>
      </w:r>
    </w:p>
    <w:p w14:paraId="5A2CA8F9">
      <w:pPr>
        <w:pStyle w:val="33"/>
        <w:spacing w:beforeAutospacing="0" w:afterAutospacing="0" w:line="360" w:lineRule="auto"/>
        <w:ind w:right="840"/>
        <w:jc w:val="center"/>
        <w:rPr>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w:t>
      </w:r>
      <w:bookmarkStart w:id="38" w:name="_Toc120614211"/>
      <w:r>
        <w:rPr>
          <w:rFonts w:hint="eastAsia" w:ascii="黑体" w:hAnsi="宋体" w:eastAsia="黑体" w:cs="黑体"/>
          <w:b/>
          <w:color w:val="auto"/>
          <w:sz w:val="44"/>
          <w:szCs w:val="44"/>
          <w:highlight w:val="none"/>
        </w:rPr>
        <w:t xml:space="preserve">第二章  </w:t>
      </w:r>
      <w:bookmarkEnd w:id="38"/>
      <w:bookmarkStart w:id="39" w:name="_Toc16938518"/>
      <w:bookmarkStart w:id="40" w:name="_Toc513029202"/>
      <w:bookmarkStart w:id="41" w:name="_Toc120614213"/>
      <w:bookmarkStart w:id="42" w:name="_Toc20823274"/>
      <w:r>
        <w:rPr>
          <w:rFonts w:hint="eastAsia" w:ascii="黑体" w:hAnsi="宋体" w:eastAsia="黑体" w:cs="黑体"/>
          <w:b/>
          <w:color w:val="auto"/>
          <w:sz w:val="44"/>
          <w:szCs w:val="44"/>
          <w:highlight w:val="none"/>
        </w:rPr>
        <w:t>投标人须知</w:t>
      </w:r>
      <w:bookmarkEnd w:id="39"/>
      <w:bookmarkEnd w:id="40"/>
      <w:bookmarkEnd w:id="41"/>
      <w:bookmarkEnd w:id="42"/>
    </w:p>
    <w:p w14:paraId="5A7E02BF">
      <w:pPr>
        <w:pStyle w:val="33"/>
        <w:keepNext/>
        <w:keepLines/>
        <w:spacing w:before="145" w:beforeAutospacing="0" w:after="145" w:afterAutospacing="0" w:line="360" w:lineRule="auto"/>
        <w:ind w:firstLine="498"/>
        <w:jc w:val="both"/>
        <w:rPr>
          <w:rFonts w:hint="eastAsia" w:ascii="宋体" w:hAnsi="宋体" w:eastAsia="宋体" w:cs="宋体"/>
          <w:color w:val="auto"/>
          <w:highlight w:val="none"/>
        </w:rPr>
      </w:pPr>
      <w:bookmarkStart w:id="43" w:name="_Toc20823275"/>
      <w:bookmarkStart w:id="44" w:name="_Toc16938519"/>
      <w:bookmarkStart w:id="45" w:name="_Toc120614214"/>
      <w:bookmarkStart w:id="46" w:name="_Toc513029203"/>
      <w:r>
        <w:rPr>
          <w:rFonts w:hint="eastAsia" w:ascii="宋体" w:hAnsi="宋体" w:eastAsia="宋体" w:cs="宋体"/>
          <w:b/>
          <w:color w:val="auto"/>
          <w:highlight w:val="none"/>
        </w:rPr>
        <w:t>一、总则</w:t>
      </w:r>
      <w:bookmarkEnd w:id="43"/>
      <w:bookmarkEnd w:id="44"/>
      <w:bookmarkEnd w:id="45"/>
      <w:bookmarkEnd w:id="46"/>
    </w:p>
    <w:p w14:paraId="2014B861">
      <w:pPr>
        <w:pStyle w:val="33"/>
        <w:keepNext/>
        <w:keepLines/>
        <w:spacing w:beforeAutospacing="0" w:afterAutospacing="0" w:line="360" w:lineRule="auto"/>
        <w:ind w:firstLine="480"/>
        <w:jc w:val="both"/>
        <w:rPr>
          <w:rFonts w:hint="eastAsia" w:ascii="宋体" w:hAnsi="宋体" w:eastAsia="宋体" w:cs="宋体"/>
          <w:color w:val="auto"/>
          <w:highlight w:val="none"/>
        </w:rPr>
      </w:pPr>
      <w:bookmarkStart w:id="47" w:name="_Toc16938520"/>
      <w:bookmarkStart w:id="48" w:name="_Toc20823276"/>
      <w:bookmarkStart w:id="49" w:name="_Toc513029204"/>
      <w:bookmarkStart w:id="50" w:name="_Toc458694821"/>
      <w:bookmarkStart w:id="51" w:name="_Hlt16619475"/>
      <w:r>
        <w:rPr>
          <w:rFonts w:hint="eastAsia" w:ascii="宋体" w:hAnsi="宋体" w:eastAsia="宋体" w:cs="宋体"/>
          <w:color w:val="auto"/>
          <w:highlight w:val="none"/>
        </w:rPr>
        <w:t>1</w:t>
      </w:r>
      <w:bookmarkEnd w:id="47"/>
      <w:r>
        <w:rPr>
          <w:rFonts w:hint="eastAsia" w:ascii="宋体" w:hAnsi="宋体" w:eastAsia="宋体" w:cs="宋体"/>
          <w:color w:val="auto"/>
          <w:highlight w:val="none"/>
        </w:rPr>
        <w:t>、招标方式</w:t>
      </w:r>
      <w:bookmarkEnd w:id="48"/>
      <w:bookmarkEnd w:id="49"/>
      <w:bookmarkEnd w:id="50"/>
    </w:p>
    <w:p w14:paraId="6A8B7399">
      <w:pPr>
        <w:pStyle w:val="33"/>
        <w:keepNext/>
        <w:keepLines/>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1.1本次招标采取公开招标方式，本招标文件仅适用于招标公告中所述项目。</w:t>
      </w:r>
    </w:p>
    <w:p w14:paraId="7D698367">
      <w:pPr>
        <w:pStyle w:val="33"/>
        <w:keepNext/>
        <w:keepLines/>
        <w:spacing w:beforeAutospacing="0" w:afterAutospacing="0" w:line="360" w:lineRule="auto"/>
        <w:ind w:firstLine="480"/>
        <w:jc w:val="both"/>
        <w:rPr>
          <w:rFonts w:hint="eastAsia" w:ascii="宋体" w:hAnsi="宋体" w:eastAsia="宋体" w:cs="宋体"/>
          <w:color w:val="auto"/>
          <w:highlight w:val="none"/>
        </w:rPr>
      </w:pPr>
      <w:bookmarkStart w:id="52" w:name="_Toc16938521"/>
      <w:bookmarkStart w:id="53" w:name="_Toc20823277"/>
      <w:bookmarkStart w:id="54" w:name="_Toc513029205"/>
      <w:r>
        <w:rPr>
          <w:rFonts w:hint="eastAsia" w:ascii="宋体" w:hAnsi="宋体" w:eastAsia="宋体" w:cs="宋体"/>
          <w:color w:val="auto"/>
          <w:highlight w:val="none"/>
        </w:rPr>
        <w:t>2、合格的投标人</w:t>
      </w:r>
      <w:bookmarkEnd w:id="52"/>
      <w:bookmarkEnd w:id="53"/>
      <w:bookmarkEnd w:id="54"/>
    </w:p>
    <w:p w14:paraId="2F478A1D">
      <w:pPr>
        <w:pStyle w:val="33"/>
        <w:keepNext/>
        <w:keepLines/>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23D6CCEB">
      <w:pPr>
        <w:pStyle w:val="33"/>
        <w:keepNext/>
        <w:keepLines/>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2.2满足本文件实质性要求和条件的规定。</w:t>
      </w:r>
    </w:p>
    <w:p w14:paraId="228CCBA3">
      <w:pPr>
        <w:pStyle w:val="33"/>
        <w:keepNext/>
        <w:keepLines/>
        <w:spacing w:beforeAutospacing="0" w:afterAutospacing="0" w:line="360" w:lineRule="auto"/>
        <w:ind w:firstLine="480"/>
        <w:jc w:val="both"/>
        <w:rPr>
          <w:rFonts w:hint="eastAsia" w:ascii="宋体" w:hAnsi="宋体" w:eastAsia="宋体" w:cs="宋体"/>
          <w:color w:val="auto"/>
          <w:highlight w:val="none"/>
        </w:rPr>
      </w:pPr>
      <w:bookmarkStart w:id="55" w:name="_Toc20823278"/>
      <w:bookmarkStart w:id="56" w:name="_Toc16938522"/>
      <w:bookmarkStart w:id="57" w:name="_Toc513029206"/>
      <w:r>
        <w:rPr>
          <w:rFonts w:hint="eastAsia" w:ascii="宋体" w:hAnsi="宋体" w:eastAsia="宋体" w:cs="宋体"/>
          <w:color w:val="auto"/>
          <w:highlight w:val="none"/>
        </w:rPr>
        <w:t>3、适用法律</w:t>
      </w:r>
      <w:bookmarkEnd w:id="55"/>
      <w:bookmarkEnd w:id="56"/>
      <w:bookmarkEnd w:id="57"/>
    </w:p>
    <w:p w14:paraId="545C2027">
      <w:pPr>
        <w:pStyle w:val="33"/>
        <w:keepNext/>
        <w:keepLines/>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3.1本次招标及由此产生的合同受中华人民共和国有关的法律法规制约和保护。</w:t>
      </w:r>
    </w:p>
    <w:p w14:paraId="41922F15">
      <w:pPr>
        <w:pStyle w:val="33"/>
        <w:keepNext/>
        <w:keepLines/>
        <w:spacing w:beforeAutospacing="0" w:afterAutospacing="0" w:line="360" w:lineRule="auto"/>
        <w:ind w:firstLine="480"/>
        <w:jc w:val="both"/>
        <w:rPr>
          <w:rFonts w:hint="eastAsia" w:ascii="宋体" w:hAnsi="宋体" w:eastAsia="宋体" w:cs="宋体"/>
          <w:color w:val="auto"/>
          <w:highlight w:val="none"/>
        </w:rPr>
      </w:pPr>
      <w:bookmarkStart w:id="58" w:name="_Toc462564067"/>
      <w:bookmarkStart w:id="59" w:name="_Toc513029207"/>
      <w:bookmarkStart w:id="60" w:name="_Toc16938523"/>
      <w:bookmarkStart w:id="61" w:name="_Toc20823279"/>
      <w:r>
        <w:rPr>
          <w:rFonts w:hint="eastAsia" w:ascii="宋体" w:hAnsi="宋体" w:eastAsia="宋体" w:cs="宋体"/>
          <w:color w:val="auto"/>
          <w:highlight w:val="none"/>
        </w:rPr>
        <w:t>4、投标费用</w:t>
      </w:r>
      <w:bookmarkEnd w:id="58"/>
      <w:bookmarkEnd w:id="59"/>
      <w:bookmarkEnd w:id="60"/>
      <w:bookmarkEnd w:id="61"/>
    </w:p>
    <w:p w14:paraId="055B20E1">
      <w:pPr>
        <w:pStyle w:val="33"/>
        <w:keepNext/>
        <w:keepLines/>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4.1投标人应自行承担所有与参加投标有关的费用，无论投标过程中的做法和结果如何，采购人和采购代理机构在任何情况下均无义务和责任承担这些费用。</w:t>
      </w:r>
    </w:p>
    <w:p w14:paraId="337416B4">
      <w:pPr>
        <w:pStyle w:val="33"/>
        <w:keepNext/>
        <w:keepLines/>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4.2本次招标采购人不收取标书工本费。</w:t>
      </w:r>
    </w:p>
    <w:p w14:paraId="3E988851">
      <w:pPr>
        <w:pStyle w:val="33"/>
        <w:keepNext/>
        <w:keepLines/>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4.3 本项目招标代理费及相关费用由中标</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支付。招标代理费按苏招协</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2022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002号文服务类标准计算；领取中标通知书时，由中标人一次性支付。该费用</w:t>
      </w:r>
      <w:r>
        <w:rPr>
          <w:rFonts w:hint="eastAsia" w:ascii="宋体" w:hAnsi="宋体" w:eastAsia="宋体" w:cs="宋体"/>
          <w:color w:val="auto"/>
          <w:highlight w:val="none"/>
          <w:lang w:val="en-US" w:eastAsia="zh-CN"/>
        </w:rPr>
        <w:t>无需</w:t>
      </w:r>
      <w:r>
        <w:rPr>
          <w:rFonts w:hint="eastAsia" w:ascii="宋体" w:hAnsi="宋体" w:eastAsia="宋体" w:cs="宋体"/>
          <w:color w:val="auto"/>
          <w:highlight w:val="none"/>
        </w:rPr>
        <w:t>在报价中列明，视为已含在总价中。</w:t>
      </w:r>
    </w:p>
    <w:p w14:paraId="19A11949">
      <w:pPr>
        <w:pStyle w:val="33"/>
        <w:keepNext/>
        <w:keepLines/>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5、招标文件的约束力</w:t>
      </w:r>
    </w:p>
    <w:p w14:paraId="3CEA4F9D">
      <w:pPr>
        <w:pStyle w:val="33"/>
        <w:keepNext/>
        <w:keepLines/>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5.1投标人一旦参加本项目采购活动，即被认为接受了本招标文件的规定和约束。</w:t>
      </w:r>
    </w:p>
    <w:p w14:paraId="0D24883A">
      <w:pPr>
        <w:pStyle w:val="33"/>
        <w:keepNext/>
        <w:keepLines/>
        <w:spacing w:before="145" w:beforeAutospacing="0" w:after="145" w:afterAutospacing="0" w:line="360" w:lineRule="auto"/>
        <w:ind w:firstLine="321"/>
        <w:jc w:val="both"/>
        <w:rPr>
          <w:rFonts w:hint="eastAsia" w:ascii="宋体" w:hAnsi="宋体" w:eastAsia="宋体" w:cs="宋体"/>
          <w:color w:val="auto"/>
          <w:highlight w:val="none"/>
        </w:rPr>
      </w:pPr>
      <w:bookmarkStart w:id="62" w:name="_Toc513029209"/>
      <w:bookmarkStart w:id="63" w:name="_Toc20823281"/>
      <w:bookmarkStart w:id="64" w:name="_Toc120614215"/>
      <w:bookmarkStart w:id="65" w:name="_Toc16938525"/>
      <w:r>
        <w:rPr>
          <w:rFonts w:hint="eastAsia" w:ascii="宋体" w:hAnsi="宋体" w:eastAsia="宋体" w:cs="宋体"/>
          <w:b/>
          <w:color w:val="auto"/>
          <w:highlight w:val="none"/>
        </w:rPr>
        <w:t>二、招标文件</w:t>
      </w:r>
      <w:bookmarkEnd w:id="62"/>
      <w:bookmarkEnd w:id="63"/>
      <w:bookmarkEnd w:id="64"/>
      <w:bookmarkEnd w:id="65"/>
    </w:p>
    <w:p w14:paraId="11469191">
      <w:pPr>
        <w:pStyle w:val="33"/>
        <w:keepNext/>
        <w:keepLines/>
        <w:spacing w:beforeAutospacing="0" w:afterAutospacing="0" w:line="360" w:lineRule="auto"/>
        <w:ind w:firstLine="480"/>
        <w:jc w:val="both"/>
        <w:rPr>
          <w:rFonts w:hint="eastAsia" w:ascii="宋体" w:hAnsi="宋体" w:eastAsia="宋体" w:cs="宋体"/>
          <w:color w:val="auto"/>
          <w:highlight w:val="none"/>
        </w:rPr>
      </w:pPr>
      <w:bookmarkStart w:id="66" w:name="_Toc16938526"/>
      <w:bookmarkStart w:id="67" w:name="_Toc513029210"/>
      <w:bookmarkStart w:id="68" w:name="_Toc20823282"/>
      <w:r>
        <w:rPr>
          <w:rFonts w:hint="eastAsia" w:ascii="宋体" w:hAnsi="宋体" w:eastAsia="宋体" w:cs="宋体"/>
          <w:color w:val="auto"/>
          <w:highlight w:val="none"/>
        </w:rPr>
        <w:t>6、招标文件构成</w:t>
      </w:r>
      <w:bookmarkEnd w:id="66"/>
      <w:bookmarkEnd w:id="67"/>
      <w:bookmarkEnd w:id="68"/>
    </w:p>
    <w:p w14:paraId="6586ECF5">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063596D1">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753F0A21">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（2）投标人须知</w:t>
      </w:r>
    </w:p>
    <w:p w14:paraId="3F81EEB9">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（3）合同文本</w:t>
      </w:r>
    </w:p>
    <w:p w14:paraId="64D051D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（4）采购需求</w:t>
      </w:r>
    </w:p>
    <w:p w14:paraId="3A10D7B9">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（5）评标方法与评标标准</w:t>
      </w:r>
    </w:p>
    <w:p w14:paraId="3BC1594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14:paraId="368DE69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请仔细检查招标文件是否齐全，如有缺漏请立即与采购代理机构联系解决。</w:t>
      </w:r>
    </w:p>
    <w:p w14:paraId="6EC04F0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C8AB82C">
      <w:pPr>
        <w:pStyle w:val="33"/>
        <w:keepNext/>
        <w:keepLines/>
        <w:spacing w:beforeAutospacing="0" w:afterAutospacing="0" w:line="360" w:lineRule="auto"/>
        <w:ind w:firstLine="480"/>
        <w:jc w:val="both"/>
        <w:rPr>
          <w:rFonts w:hint="eastAsia" w:ascii="宋体" w:hAnsi="宋体" w:eastAsia="宋体" w:cs="宋体"/>
          <w:color w:val="auto"/>
          <w:highlight w:val="none"/>
        </w:rPr>
      </w:pPr>
      <w:bookmarkStart w:id="69" w:name="_Toc16938527"/>
      <w:bookmarkStart w:id="70" w:name="_Toc20823283"/>
      <w:bookmarkStart w:id="71" w:name="_Toc462564070"/>
      <w:bookmarkStart w:id="72" w:name="_Toc513029211"/>
      <w:r>
        <w:rPr>
          <w:rFonts w:hint="eastAsia" w:ascii="宋体" w:hAnsi="宋体" w:eastAsia="宋体" w:cs="宋体"/>
          <w:color w:val="auto"/>
          <w:highlight w:val="none"/>
        </w:rPr>
        <w:t>7、招标文件的澄清</w:t>
      </w:r>
      <w:bookmarkEnd w:id="69"/>
      <w:bookmarkEnd w:id="70"/>
      <w:bookmarkEnd w:id="71"/>
      <w:bookmarkEnd w:id="72"/>
    </w:p>
    <w:p w14:paraId="756E5C8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7.1任何要求对招标文件进行澄清的投标人，应在投标截止期</w:t>
      </w:r>
      <w:r>
        <w:rPr>
          <w:rFonts w:hint="eastAsia" w:ascii="宋体" w:hAnsi="宋体" w:eastAsia="宋体" w:cs="宋体"/>
          <w:b/>
          <w:color w:val="auto"/>
          <w:highlight w:val="none"/>
        </w:rPr>
        <w:t>十日</w:t>
      </w:r>
      <w:r>
        <w:rPr>
          <w:rFonts w:hint="eastAsia" w:ascii="宋体" w:hAnsi="宋体" w:eastAsia="宋体" w:cs="宋体"/>
          <w:color w:val="auto"/>
          <w:highlight w:val="none"/>
        </w:rPr>
        <w:t>前按招标公告中的通讯地址，以书面形式通知采购代理机构。</w:t>
      </w:r>
    </w:p>
    <w:p w14:paraId="300757FE">
      <w:pPr>
        <w:pStyle w:val="33"/>
        <w:spacing w:beforeAutospacing="0" w:afterAutospacing="0" w:line="360" w:lineRule="auto"/>
        <w:ind w:firstLine="480"/>
        <w:jc w:val="both"/>
        <w:rPr>
          <w:rFonts w:hint="eastAsia" w:ascii="宋体" w:hAnsi="宋体" w:eastAsia="宋体" w:cs="宋体"/>
          <w:color w:val="auto"/>
          <w:highlight w:val="none"/>
        </w:rPr>
      </w:pPr>
      <w:bookmarkStart w:id="73" w:name="_Toc16938528"/>
      <w:bookmarkStart w:id="74" w:name="_Toc513029212"/>
      <w:bookmarkStart w:id="75" w:name="_Toc20823284"/>
      <w:bookmarkStart w:id="76" w:name="_Toc462564071"/>
      <w:r>
        <w:rPr>
          <w:rFonts w:hint="eastAsia" w:ascii="宋体" w:hAnsi="宋体" w:eastAsia="宋体" w:cs="宋体"/>
          <w:color w:val="auto"/>
          <w:highlight w:val="none"/>
        </w:rPr>
        <w:t>8、招标文件的修改</w:t>
      </w:r>
      <w:bookmarkEnd w:id="73"/>
      <w:bookmarkEnd w:id="74"/>
      <w:bookmarkEnd w:id="75"/>
      <w:bookmarkEnd w:id="76"/>
    </w:p>
    <w:p w14:paraId="786325D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8.1在投标截止时间前，采购人可以对招标文件进行修改。</w:t>
      </w:r>
    </w:p>
    <w:p w14:paraId="76ED4D7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8.2采购人有权按照法定的要求推迟投标截止日期和开标日期。</w:t>
      </w:r>
    </w:p>
    <w:p w14:paraId="3702D75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8.3招标文件的修改将在中国政府采购网、江苏政府采购网、盐城市政府采购网公布，补充文件将作为招标文件的组成部分，并对投标人具有约束力。</w:t>
      </w:r>
    </w:p>
    <w:p w14:paraId="2F80550E">
      <w:pPr>
        <w:pStyle w:val="33"/>
        <w:keepNext/>
        <w:keepLines/>
        <w:spacing w:before="145" w:beforeAutospacing="0" w:after="145" w:afterAutospacing="0" w:line="360" w:lineRule="auto"/>
        <w:ind w:firstLine="482"/>
        <w:jc w:val="both"/>
        <w:rPr>
          <w:rFonts w:hint="eastAsia" w:ascii="宋体" w:hAnsi="宋体" w:eastAsia="宋体" w:cs="宋体"/>
          <w:color w:val="auto"/>
          <w:highlight w:val="none"/>
        </w:rPr>
      </w:pPr>
      <w:bookmarkStart w:id="77" w:name="_Toc20823285"/>
      <w:bookmarkStart w:id="78" w:name="_Toc462564072"/>
      <w:bookmarkStart w:id="79" w:name="_Toc16938529"/>
      <w:bookmarkStart w:id="80" w:name="_Toc120614216"/>
      <w:bookmarkStart w:id="81" w:name="_Toc513029213"/>
      <w:r>
        <w:rPr>
          <w:rFonts w:hint="eastAsia" w:ascii="宋体" w:hAnsi="宋体" w:eastAsia="宋体" w:cs="宋体"/>
          <w:b/>
          <w:color w:val="auto"/>
          <w:highlight w:val="none"/>
        </w:rPr>
        <w:t>三、投标文件的编制</w:t>
      </w:r>
      <w:bookmarkEnd w:id="77"/>
      <w:bookmarkEnd w:id="78"/>
      <w:bookmarkEnd w:id="79"/>
      <w:bookmarkEnd w:id="80"/>
      <w:bookmarkEnd w:id="81"/>
    </w:p>
    <w:p w14:paraId="6E8FDFB9">
      <w:pPr>
        <w:pStyle w:val="33"/>
        <w:spacing w:beforeAutospacing="0" w:afterAutospacing="0" w:line="360" w:lineRule="auto"/>
        <w:ind w:firstLine="480"/>
        <w:jc w:val="both"/>
        <w:rPr>
          <w:rFonts w:hint="eastAsia" w:ascii="宋体" w:hAnsi="宋体" w:eastAsia="宋体" w:cs="宋体"/>
          <w:color w:val="auto"/>
          <w:highlight w:val="none"/>
        </w:rPr>
      </w:pPr>
      <w:bookmarkStart w:id="82" w:name="_Toc513029214"/>
      <w:bookmarkStart w:id="83" w:name="_Toc20823286"/>
      <w:bookmarkStart w:id="84" w:name="_Toc462564073"/>
      <w:bookmarkStart w:id="85" w:name="_Toc16938530"/>
      <w:r>
        <w:rPr>
          <w:rFonts w:hint="eastAsia" w:ascii="宋体" w:hAnsi="宋体" w:eastAsia="宋体" w:cs="宋体"/>
          <w:color w:val="auto"/>
          <w:highlight w:val="none"/>
        </w:rPr>
        <w:t>9、投标文件的语言及度量衡单位</w:t>
      </w:r>
      <w:bookmarkEnd w:id="82"/>
      <w:bookmarkEnd w:id="83"/>
      <w:bookmarkEnd w:id="84"/>
      <w:bookmarkEnd w:id="85"/>
    </w:p>
    <w:p w14:paraId="523BEB9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9.1投标人提交的投标文件以及投标人与采购人就有关投标的所有来往通知、函件和文件均应使用简体中文。</w:t>
      </w:r>
    </w:p>
    <w:p w14:paraId="2EF1541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9.2除技术性能另有规定外，投标文件所使用的度量衡单位，均须采用国家法定计量单位。</w:t>
      </w:r>
    </w:p>
    <w:p w14:paraId="60838120">
      <w:pPr>
        <w:pStyle w:val="33"/>
        <w:spacing w:beforeAutospacing="0" w:afterAutospacing="0" w:line="360" w:lineRule="auto"/>
        <w:ind w:firstLine="480"/>
        <w:jc w:val="both"/>
        <w:rPr>
          <w:rFonts w:hint="eastAsia" w:ascii="宋体" w:hAnsi="宋体" w:eastAsia="宋体" w:cs="宋体"/>
          <w:color w:val="auto"/>
          <w:highlight w:val="none"/>
        </w:rPr>
      </w:pPr>
      <w:bookmarkStart w:id="86" w:name="_Toc16938531"/>
      <w:bookmarkStart w:id="87" w:name="_Toc462564074"/>
      <w:bookmarkStart w:id="88" w:name="_Toc513029215"/>
      <w:bookmarkStart w:id="89" w:name="_Toc20823287"/>
      <w:r>
        <w:rPr>
          <w:rFonts w:hint="eastAsia" w:ascii="宋体" w:hAnsi="宋体" w:eastAsia="宋体" w:cs="宋体"/>
          <w:color w:val="auto"/>
          <w:highlight w:val="none"/>
        </w:rPr>
        <w:t>10、投标文件构成</w:t>
      </w:r>
      <w:bookmarkEnd w:id="86"/>
      <w:bookmarkEnd w:id="87"/>
      <w:bookmarkEnd w:id="88"/>
      <w:bookmarkEnd w:id="89"/>
    </w:p>
    <w:p w14:paraId="4D6B826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10.1投标人编写的投标文件应包括资格证明文件、符合性证明文件、投标分项报价表、服务要求响应及偏离表、商务要求响应及偏离表、其他证明文件、投标函、开标一览表等部分。</w:t>
      </w:r>
    </w:p>
    <w:p w14:paraId="05D58F7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4E5E31B7">
      <w:pPr>
        <w:pStyle w:val="33"/>
        <w:spacing w:beforeAutospacing="0" w:afterAutospacing="0" w:line="360" w:lineRule="auto"/>
        <w:ind w:firstLine="480"/>
        <w:jc w:val="both"/>
        <w:rPr>
          <w:rFonts w:hint="eastAsia" w:ascii="宋体" w:hAnsi="宋体" w:eastAsia="宋体" w:cs="宋体"/>
          <w:color w:val="auto"/>
          <w:highlight w:val="none"/>
        </w:rPr>
      </w:pPr>
      <w:bookmarkStart w:id="90" w:name="_Toc49090507"/>
      <w:bookmarkStart w:id="91" w:name="_Toc49090509"/>
      <w:bookmarkStart w:id="92" w:name="_Toc14577354"/>
      <w:bookmarkStart w:id="93" w:name="_Toc513029216"/>
      <w:bookmarkStart w:id="94" w:name="_Toc14577357"/>
      <w:bookmarkStart w:id="95" w:name="_Toc513029219"/>
      <w:bookmarkStart w:id="96" w:name="_Hlt26954838"/>
      <w:bookmarkStart w:id="97" w:name="_Hlt26670360"/>
      <w:bookmarkStart w:id="98" w:name="_Hlt26668975"/>
      <w:r>
        <w:rPr>
          <w:rFonts w:hint="eastAsia" w:ascii="宋体" w:hAnsi="宋体" w:eastAsia="宋体" w:cs="宋体"/>
          <w:color w:val="auto"/>
          <w:highlight w:val="none"/>
        </w:rPr>
        <w:t>11、证明投标人及投标标的符合招标文件规定的文件</w:t>
      </w:r>
      <w:bookmarkEnd w:id="90"/>
      <w:bookmarkEnd w:id="91"/>
      <w:bookmarkEnd w:id="92"/>
      <w:bookmarkEnd w:id="93"/>
      <w:bookmarkEnd w:id="94"/>
      <w:bookmarkEnd w:id="95"/>
    </w:p>
    <w:p w14:paraId="5368B254">
      <w:pPr>
        <w:pStyle w:val="33"/>
        <w:spacing w:beforeAutospacing="0" w:afterAutospacing="0" w:line="360" w:lineRule="auto"/>
        <w:ind w:firstLine="480"/>
        <w:jc w:val="both"/>
        <w:rPr>
          <w:rFonts w:hint="eastAsia" w:ascii="宋体" w:hAnsi="宋体" w:eastAsia="宋体" w:cs="宋体"/>
          <w:color w:val="auto"/>
          <w:highlight w:val="none"/>
        </w:rPr>
      </w:pPr>
      <w:bookmarkStart w:id="99" w:name="_Toc14577355"/>
      <w:bookmarkStart w:id="100" w:name="_Toc49090508"/>
      <w:r>
        <w:rPr>
          <w:rFonts w:hint="eastAsia" w:ascii="宋体" w:hAnsi="宋体" w:eastAsia="宋体" w:cs="宋体"/>
          <w:color w:val="auto"/>
          <w:highlight w:val="none"/>
        </w:rPr>
        <w:t>11.1投标人应按照法律、法规、规章和规范性文件以及招标文件要求提交证明文件，证明其及投标标的符合招标文件规定。</w:t>
      </w:r>
      <w:bookmarkEnd w:id="99"/>
      <w:bookmarkEnd w:id="100"/>
    </w:p>
    <w:p w14:paraId="3762546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5AD21A5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12、投标分项报价</w:t>
      </w:r>
      <w:bookmarkStart w:id="101" w:name="_Hlt26670373"/>
      <w:r>
        <w:rPr>
          <w:rFonts w:hint="eastAsia" w:ascii="宋体" w:hAnsi="宋体" w:eastAsia="宋体" w:cs="宋体"/>
          <w:color w:val="auto"/>
          <w:highlight w:val="none"/>
        </w:rPr>
        <w:t>表</w:t>
      </w:r>
    </w:p>
    <w:p w14:paraId="1F0A2E3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12.1投</w:t>
      </w:r>
      <w:bookmarkStart w:id="102" w:name="_Hlt26954840"/>
      <w:r>
        <w:rPr>
          <w:rFonts w:hint="eastAsia" w:ascii="宋体" w:hAnsi="宋体" w:eastAsia="宋体" w:cs="宋体"/>
          <w:color w:val="auto"/>
          <w:highlight w:val="none"/>
        </w:rPr>
        <w:t>标人应按照招标文件规定格式填报投标分项报价表</w:t>
      </w:r>
      <w:bookmarkStart w:id="103" w:name="_Hlt26670399"/>
      <w:r>
        <w:rPr>
          <w:rFonts w:hint="eastAsia" w:ascii="宋体" w:hAnsi="宋体" w:eastAsia="宋体" w:cs="宋体"/>
          <w:color w:val="auto"/>
          <w:highlight w:val="none"/>
        </w:rPr>
        <w:t>。</w:t>
      </w:r>
    </w:p>
    <w:p w14:paraId="5DCF53F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535B400B">
      <w:pPr>
        <w:pStyle w:val="33"/>
        <w:spacing w:beforeAutospacing="0" w:afterAutospacing="0" w:line="360" w:lineRule="auto"/>
        <w:ind w:firstLine="480"/>
        <w:jc w:val="both"/>
        <w:rPr>
          <w:rFonts w:hint="eastAsia" w:ascii="宋体" w:hAnsi="宋体" w:eastAsia="宋体" w:cs="宋体"/>
          <w:color w:val="auto"/>
          <w:highlight w:val="none"/>
        </w:rPr>
      </w:pPr>
      <w:bookmarkStart w:id="104" w:name="_Hlt26954844"/>
      <w:bookmarkStart w:id="105" w:name="_Hlt26954731"/>
      <w:bookmarkStart w:id="106" w:name="_Hlt26670486"/>
      <w:bookmarkStart w:id="107" w:name="_Hlt26670425"/>
      <w:bookmarkStart w:id="108" w:name="_Hlt26670482"/>
      <w:bookmarkStart w:id="109" w:name="_Hlt26954848"/>
      <w:bookmarkStart w:id="110" w:name="_Hlt26668983"/>
      <w:bookmarkStart w:id="111" w:name="_Hlt26954842"/>
      <w:bookmarkStart w:id="112" w:name="_Hlt26954846"/>
      <w:bookmarkStart w:id="113" w:name="_Hlt26670403"/>
      <w:r>
        <w:rPr>
          <w:rFonts w:hint="eastAsia" w:ascii="宋体" w:hAnsi="宋体" w:eastAsia="宋体" w:cs="宋体"/>
          <w:color w:val="auto"/>
          <w:highlight w:val="none"/>
        </w:rPr>
        <w:t>13、服务要求响应及偏离表、商务要求响应及偏离表</w:t>
      </w:r>
    </w:p>
    <w:p w14:paraId="49825CA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13.1投标人需对招标文件中的技术要求与商务要求逐项作出响应或偏离，并说明原因。</w:t>
      </w:r>
    </w:p>
    <w:p w14:paraId="51DA4DA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13.2投标人可在投标文件中提供认为需要的其他技术文件或说明。</w:t>
      </w:r>
    </w:p>
    <w:p w14:paraId="73FD250B">
      <w:pPr>
        <w:pStyle w:val="33"/>
        <w:spacing w:beforeAutospacing="0" w:afterAutospacing="0" w:line="360" w:lineRule="auto"/>
        <w:ind w:firstLine="480"/>
        <w:jc w:val="both"/>
        <w:rPr>
          <w:rFonts w:hint="eastAsia" w:ascii="宋体" w:hAnsi="宋体" w:eastAsia="宋体" w:cs="宋体"/>
          <w:color w:val="auto"/>
          <w:highlight w:val="none"/>
        </w:rPr>
      </w:pPr>
      <w:bookmarkStart w:id="114" w:name="_Toc49090510"/>
      <w:bookmarkStart w:id="115" w:name="_Toc14577359"/>
      <w:r>
        <w:rPr>
          <w:rFonts w:hint="eastAsia" w:ascii="宋体" w:hAnsi="宋体" w:eastAsia="宋体" w:cs="宋体"/>
          <w:color w:val="auto"/>
          <w:highlight w:val="none"/>
        </w:rPr>
        <w:t>14、投标函和开标一览表</w:t>
      </w:r>
      <w:bookmarkEnd w:id="114"/>
      <w:bookmarkEnd w:id="115"/>
    </w:p>
    <w:p w14:paraId="714107C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14.1投标人应按照招标文件中提供的格式完整、正确填写投标函、开标一览表。</w:t>
      </w:r>
    </w:p>
    <w:p w14:paraId="2F2BE655">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14.2对于采用货币报价的项目，开标一览表中的投标总报价应与投标分项报价表中的投标总报价一致，如不一致，不作为无效投标处理，但评标时按开标一览表中价格为准。</w:t>
      </w:r>
    </w:p>
    <w:p w14:paraId="1354A09D">
      <w:pPr>
        <w:pStyle w:val="33"/>
        <w:spacing w:beforeAutospacing="0" w:afterAutospacing="0" w:line="360" w:lineRule="auto"/>
        <w:ind w:firstLine="480"/>
        <w:jc w:val="both"/>
        <w:rPr>
          <w:rFonts w:hint="eastAsia" w:ascii="宋体" w:hAnsi="宋体" w:eastAsia="宋体" w:cs="宋体"/>
          <w:color w:val="auto"/>
          <w:highlight w:val="none"/>
        </w:rPr>
      </w:pPr>
      <w:bookmarkStart w:id="116" w:name="_Toc14577360"/>
      <w:bookmarkStart w:id="117" w:name="_Toc49090511"/>
      <w:bookmarkStart w:id="118" w:name="_Hlt26954850"/>
      <w:bookmarkStart w:id="119" w:name="_Hlt26670489"/>
      <w:bookmarkStart w:id="120" w:name="_Hlt26954734"/>
      <w:r>
        <w:rPr>
          <w:rFonts w:hint="eastAsia" w:ascii="宋体" w:hAnsi="宋体" w:eastAsia="宋体" w:cs="宋体"/>
          <w:color w:val="auto"/>
          <w:highlight w:val="none"/>
        </w:rPr>
        <w:t>15、投标有效期</w:t>
      </w:r>
      <w:bookmarkEnd w:id="116"/>
      <w:bookmarkEnd w:id="117"/>
    </w:p>
    <w:p w14:paraId="6DC78A9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15.1投标有效期为采购人规定的开标之日后九十（90）天。投标有效期比规定短的将被视为未实质性响应招标文件而予以拒绝。</w:t>
      </w:r>
    </w:p>
    <w:p w14:paraId="40E2950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16、投标有效期的延长</w:t>
      </w:r>
    </w:p>
    <w:p w14:paraId="0D6B6E3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01F1D3BF">
      <w:pPr>
        <w:pStyle w:val="33"/>
        <w:keepNext/>
        <w:keepLines/>
        <w:spacing w:before="145" w:beforeAutospacing="0" w:after="145" w:afterAutospacing="0" w:line="360" w:lineRule="auto"/>
        <w:ind w:firstLine="482"/>
        <w:jc w:val="both"/>
        <w:rPr>
          <w:rFonts w:hint="eastAsia" w:ascii="宋体" w:hAnsi="宋体" w:eastAsia="宋体" w:cs="宋体"/>
          <w:color w:val="auto"/>
          <w:highlight w:val="none"/>
        </w:rPr>
      </w:pPr>
      <w:bookmarkStart w:id="121" w:name="_Toc120614217"/>
      <w:bookmarkStart w:id="122" w:name="_Toc513029224"/>
      <w:bookmarkStart w:id="123" w:name="_Toc16938540"/>
      <w:bookmarkStart w:id="124" w:name="_Toc20823296"/>
      <w:bookmarkStart w:id="125" w:name="_Hlt26954852"/>
      <w:bookmarkStart w:id="126" w:name="_Hlt26954739"/>
      <w:r>
        <w:rPr>
          <w:rFonts w:hint="eastAsia" w:ascii="宋体" w:hAnsi="宋体" w:eastAsia="宋体" w:cs="宋体"/>
          <w:b/>
          <w:color w:val="auto"/>
          <w:highlight w:val="none"/>
        </w:rPr>
        <w:t>四、投标文件的递交</w:t>
      </w:r>
      <w:bookmarkEnd w:id="121"/>
      <w:bookmarkEnd w:id="122"/>
      <w:bookmarkEnd w:id="123"/>
      <w:bookmarkEnd w:id="124"/>
    </w:p>
    <w:p w14:paraId="1EC29FC0">
      <w:pPr>
        <w:pStyle w:val="33"/>
        <w:spacing w:beforeAutospacing="0" w:afterAutospacing="0" w:line="360" w:lineRule="auto"/>
        <w:ind w:firstLine="480"/>
        <w:jc w:val="both"/>
        <w:rPr>
          <w:rFonts w:hint="eastAsia" w:ascii="宋体" w:hAnsi="宋体" w:eastAsia="宋体" w:cs="宋体"/>
          <w:color w:val="auto"/>
          <w:highlight w:val="none"/>
        </w:rPr>
      </w:pPr>
      <w:bookmarkStart w:id="127" w:name="_Toc20823297"/>
      <w:bookmarkStart w:id="128" w:name="_Toc513029225"/>
      <w:bookmarkStart w:id="129" w:name="_Toc462564084"/>
      <w:bookmarkStart w:id="130" w:name="_Toc16938541"/>
      <w:r>
        <w:rPr>
          <w:rFonts w:hint="eastAsia" w:ascii="宋体" w:hAnsi="宋体" w:eastAsia="宋体" w:cs="宋体"/>
          <w:color w:val="auto"/>
          <w:highlight w:val="none"/>
        </w:rPr>
        <w:t>17、投标文件</w:t>
      </w:r>
      <w:bookmarkEnd w:id="127"/>
      <w:bookmarkEnd w:id="128"/>
      <w:bookmarkEnd w:id="129"/>
      <w:bookmarkEnd w:id="130"/>
      <w:r>
        <w:rPr>
          <w:rFonts w:hint="eastAsia" w:ascii="宋体" w:hAnsi="宋体" w:eastAsia="宋体" w:cs="宋体"/>
          <w:color w:val="auto"/>
          <w:highlight w:val="none"/>
        </w:rPr>
        <w:t>的递交</w:t>
      </w:r>
    </w:p>
    <w:p w14:paraId="6D9BF8C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 电子投标文件的递交</w:t>
      </w:r>
    </w:p>
    <w:p w14:paraId="4C498C4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投标人应当按照《操作手册》规定，在投标截止时间前制作并上传电子投标文件。</w:t>
      </w:r>
      <w:bookmarkStart w:id="131" w:name="_Toc16938542"/>
      <w:bookmarkEnd w:id="131"/>
      <w:bookmarkStart w:id="132" w:name="_Toc20823298"/>
      <w:bookmarkEnd w:id="132"/>
      <w:bookmarkStart w:id="133" w:name="_Toc513029226"/>
    </w:p>
    <w:p w14:paraId="01C4453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18、投标截止时间</w:t>
      </w:r>
    </w:p>
    <w:p w14:paraId="29D53EE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18.1投标人上传电子投标文件的时间不得迟于招标公告中规定的投标截止时间。</w:t>
      </w:r>
    </w:p>
    <w:p w14:paraId="4B78AB6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投标人应充分考虑到网络环境、网络带宽等风险因素，如因投标人自身原因造成的电子投标文件上传不成功的按照本招标文件第二章第26.1.2条规定做无效投标处理。</w:t>
      </w:r>
    </w:p>
    <w:p w14:paraId="5D7246C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18.2采购人可以按照规定，通过修改招标文件酌情延长投标截止时间，在此情况下，投标人的所有权利和义务以及投标人受制的截止时间均应以延长后新的截止时间为准。</w:t>
      </w:r>
    </w:p>
    <w:p w14:paraId="3878D530">
      <w:pPr>
        <w:pStyle w:val="33"/>
        <w:spacing w:beforeAutospacing="0" w:afterAutospacing="0" w:line="360" w:lineRule="auto"/>
        <w:ind w:firstLine="480"/>
        <w:jc w:val="both"/>
        <w:rPr>
          <w:rFonts w:hint="eastAsia" w:ascii="宋体" w:hAnsi="宋体" w:eastAsia="宋体" w:cs="宋体"/>
          <w:color w:val="auto"/>
          <w:highlight w:val="none"/>
        </w:rPr>
      </w:pPr>
      <w:bookmarkStart w:id="134" w:name="_Toc513029227"/>
      <w:bookmarkStart w:id="135" w:name="_Toc16938543"/>
      <w:bookmarkStart w:id="136" w:name="_Toc20823299"/>
      <w:r>
        <w:rPr>
          <w:rFonts w:hint="eastAsia" w:ascii="宋体" w:hAnsi="宋体" w:eastAsia="宋体" w:cs="宋体"/>
          <w:color w:val="auto"/>
          <w:highlight w:val="none"/>
        </w:rPr>
        <w:t>19、投标文件</w:t>
      </w:r>
      <w:bookmarkEnd w:id="134"/>
      <w:bookmarkEnd w:id="135"/>
      <w:bookmarkEnd w:id="136"/>
      <w:r>
        <w:rPr>
          <w:rFonts w:hint="eastAsia" w:ascii="宋体" w:hAnsi="宋体" w:eastAsia="宋体" w:cs="宋体"/>
          <w:color w:val="auto"/>
          <w:highlight w:val="none"/>
        </w:rPr>
        <w:t>的拒收</w:t>
      </w:r>
    </w:p>
    <w:p w14:paraId="52890E8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19.1采购人（采购代理机构）拒绝接收在其规定的投标截止时间后上传的任何投标文件。</w:t>
      </w:r>
    </w:p>
    <w:p w14:paraId="163F147D">
      <w:pPr>
        <w:pStyle w:val="33"/>
        <w:spacing w:beforeAutospacing="0" w:afterAutospacing="0" w:line="360" w:lineRule="auto"/>
        <w:ind w:firstLine="482"/>
        <w:jc w:val="both"/>
        <w:rPr>
          <w:rFonts w:hint="eastAsia" w:ascii="宋体" w:hAnsi="宋体" w:eastAsia="宋体" w:cs="宋体"/>
          <w:color w:val="auto"/>
          <w:highlight w:val="none"/>
        </w:rPr>
      </w:pPr>
      <w:bookmarkStart w:id="137" w:name="_Toc16938544"/>
      <w:bookmarkStart w:id="138" w:name="_Toc20823300"/>
      <w:bookmarkStart w:id="139" w:name="_Toc513029228"/>
      <w:r>
        <w:rPr>
          <w:rFonts w:hint="eastAsia" w:ascii="宋体" w:hAnsi="宋体" w:eastAsia="宋体" w:cs="宋体"/>
          <w:b/>
          <w:bCs/>
          <w:color w:val="auto"/>
          <w:highlight w:val="none"/>
        </w:rPr>
        <w:t>20、投标文件的撤回和修改</w:t>
      </w:r>
      <w:bookmarkEnd w:id="137"/>
      <w:bookmarkEnd w:id="138"/>
      <w:bookmarkEnd w:id="139"/>
    </w:p>
    <w:p w14:paraId="09AEFE8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20.1投标文件的撤回</w:t>
      </w:r>
    </w:p>
    <w:p w14:paraId="77F64BE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20.1.1电子投标文件的撤回</w:t>
      </w:r>
    </w:p>
    <w:p w14:paraId="01DAAAB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64384FD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20.1.2投标人撤回电子投标文件，则认为其不再参与本项目投标活动。</w:t>
      </w:r>
    </w:p>
    <w:p w14:paraId="0F80DB2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 投标文件的修改</w:t>
      </w:r>
    </w:p>
    <w:p w14:paraId="1A78CDB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20.2.1投标人可在投标截止时间前，对其电子投标文件进行修改，具体操作方法见《操作手册》。</w:t>
      </w:r>
    </w:p>
    <w:p w14:paraId="2E9F9DA5">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20.2.2在投标截止时间之后，投标人不得对其电子投标文件作任何修改。</w:t>
      </w:r>
    </w:p>
    <w:p w14:paraId="0CF4969B">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20.3在投标截止时间至招标文件中规定的投标有效期满之间的这段时间内，投标人不得撤回其投标。</w:t>
      </w:r>
    </w:p>
    <w:p w14:paraId="6DB523A7">
      <w:pPr>
        <w:pStyle w:val="33"/>
        <w:keepNext/>
        <w:keepLines/>
        <w:spacing w:before="145" w:beforeAutospacing="0" w:after="145" w:afterAutospacing="0" w:line="360" w:lineRule="auto"/>
        <w:ind w:firstLine="482"/>
        <w:jc w:val="both"/>
        <w:rPr>
          <w:rFonts w:hint="eastAsia" w:ascii="宋体" w:hAnsi="宋体" w:eastAsia="宋体" w:cs="宋体"/>
          <w:color w:val="auto"/>
          <w:highlight w:val="none"/>
        </w:rPr>
      </w:pPr>
      <w:bookmarkStart w:id="140" w:name="_Toc120614218"/>
      <w:bookmarkStart w:id="141" w:name="_Toc513029229"/>
      <w:bookmarkStart w:id="142" w:name="_Toc16938545"/>
      <w:bookmarkStart w:id="143" w:name="_Toc20823301"/>
      <w:r>
        <w:rPr>
          <w:rFonts w:hint="eastAsia" w:ascii="宋体" w:hAnsi="宋体" w:eastAsia="宋体" w:cs="宋体"/>
          <w:b/>
          <w:color w:val="auto"/>
          <w:highlight w:val="none"/>
        </w:rPr>
        <w:t>五、开标与评标</w:t>
      </w:r>
      <w:bookmarkEnd w:id="140"/>
      <w:bookmarkEnd w:id="141"/>
      <w:bookmarkEnd w:id="142"/>
      <w:bookmarkEnd w:id="143"/>
    </w:p>
    <w:p w14:paraId="2A97CD6F">
      <w:pPr>
        <w:pStyle w:val="33"/>
        <w:spacing w:beforeAutospacing="0" w:afterAutospacing="0" w:line="360" w:lineRule="auto"/>
        <w:ind w:firstLine="480"/>
        <w:jc w:val="both"/>
        <w:rPr>
          <w:rFonts w:hint="eastAsia" w:ascii="宋体" w:hAnsi="宋体" w:eastAsia="宋体" w:cs="宋体"/>
          <w:color w:val="auto"/>
          <w:highlight w:val="none"/>
        </w:rPr>
      </w:pPr>
      <w:bookmarkStart w:id="144" w:name="_Toc20823302"/>
      <w:bookmarkStart w:id="145" w:name="_Toc513029230"/>
      <w:bookmarkStart w:id="146" w:name="_Toc16938546"/>
      <w:r>
        <w:rPr>
          <w:rFonts w:hint="eastAsia" w:ascii="宋体" w:hAnsi="宋体" w:eastAsia="宋体" w:cs="宋体"/>
          <w:color w:val="auto"/>
          <w:highlight w:val="none"/>
        </w:rPr>
        <w:t>21、开标</w:t>
      </w:r>
      <w:bookmarkEnd w:id="144"/>
      <w:bookmarkEnd w:id="145"/>
      <w:bookmarkEnd w:id="146"/>
    </w:p>
    <w:p w14:paraId="0FC51DA4">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21.1采购人将在招标公告中规定的时间和地点组织公开开标。投标人应当按照《操作手册》规定，参加开标活动和在苏采云系统规定的时间内对投标文件进行解密。</w:t>
      </w:r>
    </w:p>
    <w:p w14:paraId="4A09EBF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21.2开标仪式由采购代理机构组织。苏采云系统将自动对项目进行开标，并宣布各投标人名称和投标价格。</w:t>
      </w:r>
    </w:p>
    <w:p w14:paraId="2498995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21.3投标人在开标过程中涉及到的投标文件解密、开标结果确认等工作，应按照《操作手册》规定执行。</w:t>
      </w:r>
    </w:p>
    <w:p w14:paraId="47F91AF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21.4投标人如果对开标过程和开标记录有疑义，应当根据《操作手册》规定提出，如苏采云系统中《开标记录表》宣布后5分钟内未提出的，视同认可开标结果。</w:t>
      </w:r>
    </w:p>
    <w:p w14:paraId="78F6964F">
      <w:pPr>
        <w:pStyle w:val="33"/>
        <w:spacing w:beforeAutospacing="0" w:afterAutospacing="0" w:line="360" w:lineRule="auto"/>
        <w:ind w:firstLine="480"/>
        <w:jc w:val="both"/>
        <w:rPr>
          <w:rFonts w:hint="eastAsia" w:ascii="宋体" w:hAnsi="宋体" w:eastAsia="宋体" w:cs="宋体"/>
          <w:color w:val="auto"/>
          <w:highlight w:val="none"/>
        </w:rPr>
      </w:pPr>
      <w:bookmarkStart w:id="147" w:name="_Toc20823303"/>
      <w:bookmarkStart w:id="148" w:name="_Toc16938547"/>
      <w:bookmarkStart w:id="149" w:name="_Toc513029231"/>
      <w:r>
        <w:rPr>
          <w:rFonts w:hint="eastAsia" w:ascii="宋体" w:hAnsi="宋体" w:eastAsia="宋体" w:cs="宋体"/>
          <w:color w:val="auto"/>
          <w:highlight w:val="none"/>
        </w:rPr>
        <w:t>22、评标委员会</w:t>
      </w:r>
      <w:bookmarkEnd w:id="147"/>
      <w:bookmarkEnd w:id="148"/>
      <w:bookmarkEnd w:id="149"/>
    </w:p>
    <w:p w14:paraId="3805327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22.1开标后，采购人将立即组织评标委员会（以下简称评委会）进行评标。</w:t>
      </w:r>
    </w:p>
    <w:p w14:paraId="3D0C528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22.2评委会由采购人代表和有关技术、经济等方面的专家组成，且人员构成符合政府采购有关规定。</w:t>
      </w:r>
    </w:p>
    <w:p w14:paraId="2632C5E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22.3评委会独立工作，负责评审所有投标文件并确定中标候选人。</w:t>
      </w:r>
    </w:p>
    <w:p w14:paraId="0BDAEA2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23、评标过程的保密与公正</w:t>
      </w:r>
    </w:p>
    <w:p w14:paraId="5096C4D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23.1凡是与审查、澄清、评价和比较投标的有关资料以及授标建议等，采购人、评委、采购代理机构均不得向投标人或与评标无关的其他人员透露。</w:t>
      </w:r>
    </w:p>
    <w:p w14:paraId="1E01458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5767DE4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23.3采购人和评标委员会不向未中标的投标人解释未中标原因，也不公布评标过程中的相关细节。</w:t>
      </w:r>
    </w:p>
    <w:p w14:paraId="6A6058C5">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23.4采用综合评分法的项目，未中标的投标人可于中标结果公告期限届满之日起通过苏采云系统查看自己的评审得分及排序情况。</w:t>
      </w:r>
      <w:bookmarkStart w:id="150" w:name="_Toc16938548"/>
      <w:bookmarkStart w:id="151" w:name="_Toc513029232"/>
      <w:bookmarkStart w:id="152" w:name="_Toc20823304"/>
    </w:p>
    <w:p w14:paraId="0CC579F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24、投标文件的澄清</w:t>
      </w:r>
      <w:bookmarkEnd w:id="150"/>
      <w:bookmarkEnd w:id="151"/>
      <w:bookmarkEnd w:id="152"/>
    </w:p>
    <w:p w14:paraId="4E267D3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24.1评标期间，评委会对投标文件中含义不明确、同类问题表述不一致或者有明显文字和计算错误的内容 ，有权要求投标人作出必要的澄清、说明或者补正。</w:t>
      </w:r>
    </w:p>
    <w:p w14:paraId="6BB7C0E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63D8CD5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1AA241E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D75320B">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24.3接到评委会澄清、说明和补正要求的投标人如未按规定作出澄清、说明和补正，其风险由投标人自行承担。</w:t>
      </w:r>
    </w:p>
    <w:p w14:paraId="76758FA1">
      <w:pPr>
        <w:pStyle w:val="33"/>
        <w:spacing w:beforeAutospacing="0" w:afterAutospacing="0" w:line="360" w:lineRule="auto"/>
        <w:ind w:firstLine="480"/>
        <w:jc w:val="both"/>
        <w:rPr>
          <w:rFonts w:hint="eastAsia" w:ascii="宋体" w:hAnsi="宋体" w:eastAsia="宋体" w:cs="宋体"/>
          <w:color w:val="auto"/>
          <w:highlight w:val="none"/>
        </w:rPr>
      </w:pPr>
      <w:bookmarkStart w:id="153" w:name="_Toc513029233"/>
      <w:bookmarkStart w:id="154" w:name="_Toc16938549"/>
      <w:bookmarkStart w:id="155" w:name="_Toc20823305"/>
      <w:r>
        <w:rPr>
          <w:rFonts w:hint="eastAsia" w:ascii="宋体" w:hAnsi="宋体" w:eastAsia="宋体" w:cs="宋体"/>
          <w:color w:val="auto"/>
          <w:highlight w:val="none"/>
        </w:rPr>
        <w:t>25、对投标文件的初审</w:t>
      </w:r>
      <w:bookmarkEnd w:id="153"/>
      <w:bookmarkEnd w:id="154"/>
      <w:bookmarkEnd w:id="155"/>
    </w:p>
    <w:p w14:paraId="29D842B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041DE5C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25.1.1资格审查：依据法律法规和招标文件的规定，由采购人对投标文件中的资格证明文件进行审查。资格审查的结论，采购人以书面形式向评委会进行反馈。</w:t>
      </w:r>
    </w:p>
    <w:p w14:paraId="03E3956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5BC62D11">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25.1.2符合性审查：依据招标文件的规定，由评委会从投标文件的有效性、完整性和对招标文件的响应程度进行审查，以确定是否对招标文件的实质性要求作出响应。</w:t>
      </w:r>
    </w:p>
    <w:p w14:paraId="7B6A41E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25.1.3未通过资格审查或符合性审查的投标人，采购人将在苏采云系统中告知未通过资格审查或符合性审查的原因，评标结束后，采购人将不再告知未通过资格审查和符合性审查的原因。</w:t>
      </w:r>
    </w:p>
    <w:p w14:paraId="5078225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3B0DD0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FDE58F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25.3如果投标文件实质上没有响应招标文件的要求，评委会将予以拒绝，投标人不得通过修改或撤销不合要求的偏离或保留而使其投标成为实质性响应的投标。</w:t>
      </w:r>
    </w:p>
    <w:p w14:paraId="79A871F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25.4评委会将对确定为实质性响应的投标进行进一步审核，确定其是否有计算上或累加上的算术错误，修正错误的原则如下：</w:t>
      </w:r>
    </w:p>
    <w:p w14:paraId="27CA794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4D5340D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072FFED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2D81E34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20A5A69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5F060411">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76BA0CA">
      <w:pPr>
        <w:pStyle w:val="33"/>
        <w:spacing w:beforeAutospacing="0" w:afterAutospacing="0" w:line="360" w:lineRule="auto"/>
        <w:ind w:firstLine="480"/>
        <w:jc w:val="both"/>
        <w:rPr>
          <w:rFonts w:hint="eastAsia" w:ascii="宋体" w:hAnsi="宋体" w:eastAsia="宋体" w:cs="宋体"/>
          <w:color w:val="auto"/>
          <w:highlight w:val="none"/>
        </w:rPr>
      </w:pPr>
      <w:bookmarkStart w:id="156" w:name="_Toc513029234"/>
      <w:bookmarkStart w:id="157" w:name="_Toc20823306"/>
      <w:bookmarkStart w:id="158" w:name="_Toc16938550"/>
      <w:r>
        <w:rPr>
          <w:rFonts w:hint="eastAsia" w:ascii="宋体" w:hAnsi="宋体" w:eastAsia="宋体" w:cs="宋体"/>
          <w:color w:val="auto"/>
          <w:highlight w:val="none"/>
        </w:rPr>
        <w:t>25.6投标人在开、评标全过程中应保持通信畅通，及时登录苏采云系统查阅、答复相关信息，并安排专人与采购人及评标委员会联系。</w:t>
      </w:r>
      <w:bookmarkEnd w:id="156"/>
      <w:bookmarkEnd w:id="157"/>
      <w:bookmarkEnd w:id="158"/>
    </w:p>
    <w:p w14:paraId="2D6EE029">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25.7政府采购异常低价审查</w:t>
      </w:r>
    </w:p>
    <w:p w14:paraId="698C7F7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25.7.1评审过程中出现下列情形之一的，评审委员会应当启动异常低价投标（响应）审查程序：</w:t>
      </w:r>
    </w:p>
    <w:p w14:paraId="5B3075E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（1）投标（响应）报价低于采购项目预算50%的，即投标（响应）报价&lt;采购项目预算×50%;</w:t>
      </w:r>
    </w:p>
    <w:p w14:paraId="0C105674">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（2）投标（响应）报价低于采购项目最高限价45%的，即投标（响应）报价&lt;采购项目最高限价×45%;</w:t>
      </w:r>
    </w:p>
    <w:p w14:paraId="1E7631E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（3）评审委员会认定的供应商报价过低、有可能影响产品质量或者不能诚信履约的其他情形。</w:t>
      </w:r>
    </w:p>
    <w:p w14:paraId="7B0F06B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p>
    <w:p w14:paraId="40AD924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26、无效投标条款和废标条款</w:t>
      </w:r>
    </w:p>
    <w:p w14:paraId="663B391F">
      <w:pPr>
        <w:pStyle w:val="33"/>
        <w:spacing w:beforeAutospacing="0" w:afterAutospacing="0" w:line="360" w:lineRule="auto"/>
        <w:ind w:firstLine="480"/>
        <w:jc w:val="both"/>
        <w:rPr>
          <w:rFonts w:hint="eastAsia" w:ascii="宋体" w:hAnsi="宋体" w:eastAsia="宋体" w:cs="宋体"/>
          <w:color w:val="auto"/>
          <w:highlight w:val="none"/>
        </w:rPr>
      </w:pPr>
      <w:bookmarkStart w:id="159" w:name="_Toc513029235"/>
      <w:bookmarkStart w:id="160" w:name="_Toc20823307"/>
      <w:bookmarkStart w:id="161" w:name="_Toc16938551"/>
      <w:r>
        <w:rPr>
          <w:rFonts w:hint="eastAsia" w:ascii="宋体" w:hAnsi="宋体" w:eastAsia="宋体" w:cs="宋体"/>
          <w:color w:val="auto"/>
          <w:highlight w:val="none"/>
        </w:rPr>
        <w:t>26.1无效投标条款</w:t>
      </w:r>
      <w:bookmarkEnd w:id="159"/>
      <w:bookmarkEnd w:id="160"/>
      <w:bookmarkEnd w:id="161"/>
    </w:p>
    <w:p w14:paraId="72AA187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26.1.1投标人在苏采云系统规定的时间内未成功解密电子投标文件的。</w:t>
      </w:r>
    </w:p>
    <w:p w14:paraId="6E03B53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26.1.2投标人未按照招标文件要求上传电子投标文件的。</w:t>
      </w:r>
    </w:p>
    <w:p w14:paraId="61637C2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26.1.3同一投标人提交两个（含两个）以上不同的投标报价的。</w:t>
      </w:r>
    </w:p>
    <w:p w14:paraId="777E72D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26.1.4投标人不具备招标文件中规定资格要求的。</w:t>
      </w:r>
    </w:p>
    <w:p w14:paraId="0B36B3B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26.1.5投标人的报价超过了采购预算或最高限价的。</w:t>
      </w:r>
    </w:p>
    <w:p w14:paraId="186E886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26.1.6未通过符合性审查的。</w:t>
      </w:r>
    </w:p>
    <w:p w14:paraId="54DDF7B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26.1.7不符合招标文件中规定的实质性要求和条件的（本招标文件中斜体且有下划线部分为实质性要求和条件）。</w:t>
      </w:r>
    </w:p>
    <w:p w14:paraId="05A5AF44">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93792A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26.1.9投标文件含有采购人不能接受的附加条件的。</w:t>
      </w:r>
    </w:p>
    <w:p w14:paraId="10BB382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20CD396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26.1.11投标文件未按照招标文件要求加盖CA电子公章的。</w:t>
      </w:r>
    </w:p>
    <w:p w14:paraId="3F4E206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26.1.12其他法律、法规及本招标文件规定的属无效投标的情形。</w:t>
      </w:r>
    </w:p>
    <w:p w14:paraId="6BA4F0C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26.2废标条款</w:t>
      </w:r>
    </w:p>
    <w:p w14:paraId="1B6B4A9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26.2.1符合专业条件的供应商或者对招标文件作实质响应的供应商不足三家的。</w:t>
      </w:r>
    </w:p>
    <w:p w14:paraId="2C119664">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26.2.2出现影响采购公正的违法、违规行为的。</w:t>
      </w:r>
    </w:p>
    <w:p w14:paraId="50F6DD39">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26.2.3因重大变故，采购任务取消的。</w:t>
      </w:r>
    </w:p>
    <w:p w14:paraId="1338D07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26.2.4评标委员会认定招标文件存在歧义、重大缺陷导致评审工作无法进行。</w:t>
      </w:r>
    </w:p>
    <w:p w14:paraId="51F9AF2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26.2.5因苏采云系统系统故障原因造成开标不成功的。</w:t>
      </w:r>
    </w:p>
    <w:p w14:paraId="28A8B83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 投标截止时间结束后参加投标的供应商不足三家的处理：</w:t>
      </w:r>
    </w:p>
    <w:p w14:paraId="206D797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26.3.1如出现投标截止时间结束后参加投标的供应商或者在评标期间对招标文件做出实质响应的供应商不足三家情况，按政府采购相关规定执行。</w:t>
      </w:r>
    </w:p>
    <w:p w14:paraId="480B0ED7">
      <w:pPr>
        <w:pStyle w:val="33"/>
        <w:spacing w:beforeAutospacing="0" w:afterAutospacing="0" w:line="360" w:lineRule="auto"/>
        <w:ind w:firstLine="480"/>
        <w:jc w:val="both"/>
        <w:rPr>
          <w:rFonts w:hint="eastAsia" w:ascii="宋体" w:hAnsi="宋体" w:eastAsia="宋体" w:cs="宋体"/>
          <w:color w:val="auto"/>
          <w:highlight w:val="none"/>
        </w:rPr>
      </w:pPr>
      <w:bookmarkStart w:id="162" w:name="_Toc120614219"/>
      <w:r>
        <w:rPr>
          <w:rFonts w:hint="eastAsia" w:ascii="宋体" w:hAnsi="宋体" w:eastAsia="宋体" w:cs="宋体"/>
          <w:color w:val="auto"/>
          <w:highlight w:val="none"/>
        </w:rPr>
        <w:t>六、定标</w:t>
      </w:r>
      <w:bookmarkEnd w:id="162"/>
    </w:p>
    <w:p w14:paraId="7FF2457C">
      <w:pPr>
        <w:pStyle w:val="33"/>
        <w:spacing w:beforeAutospacing="0" w:afterAutospacing="0" w:line="360" w:lineRule="auto"/>
        <w:ind w:firstLine="480"/>
        <w:jc w:val="both"/>
        <w:rPr>
          <w:rFonts w:hint="eastAsia" w:ascii="宋体" w:hAnsi="宋体" w:eastAsia="宋体" w:cs="宋体"/>
          <w:color w:val="auto"/>
          <w:highlight w:val="none"/>
        </w:rPr>
      </w:pPr>
      <w:bookmarkStart w:id="163" w:name="_Toc20823310"/>
      <w:bookmarkStart w:id="164" w:name="_Toc16938554"/>
      <w:bookmarkStart w:id="165" w:name="_Toc513029238"/>
      <w:r>
        <w:rPr>
          <w:rFonts w:hint="eastAsia" w:ascii="宋体" w:hAnsi="宋体" w:eastAsia="宋体" w:cs="宋体"/>
          <w:color w:val="auto"/>
          <w:highlight w:val="none"/>
        </w:rPr>
        <w:t>27、</w:t>
      </w:r>
      <w:bookmarkEnd w:id="163"/>
      <w:r>
        <w:rPr>
          <w:rFonts w:hint="eastAsia" w:ascii="宋体" w:hAnsi="宋体" w:eastAsia="宋体" w:cs="宋体"/>
          <w:color w:val="auto"/>
          <w:highlight w:val="none"/>
        </w:rPr>
        <w:t>确定</w:t>
      </w:r>
      <w:bookmarkEnd w:id="164"/>
      <w:bookmarkEnd w:id="165"/>
      <w:r>
        <w:rPr>
          <w:rFonts w:hint="eastAsia" w:ascii="宋体" w:hAnsi="宋体" w:eastAsia="宋体" w:cs="宋体"/>
          <w:color w:val="auto"/>
          <w:highlight w:val="none"/>
        </w:rPr>
        <w:t>中标单位</w:t>
      </w:r>
    </w:p>
    <w:p w14:paraId="75B5ABE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781ABFB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27.2采购人应根据评委会推荐的中标候选人确定中标人。</w:t>
      </w:r>
    </w:p>
    <w:p w14:paraId="7F015C81">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27.3采购人将在“中国政府采购网”“江苏政府采购网”“盐城市政府采购网”发布中标公告，公告期限为1个工作日。</w:t>
      </w:r>
    </w:p>
    <w:p w14:paraId="7A1CCBC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57F77A4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353310B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27.4.2向采购人、采购代理机构行贿或者提供其他不正当利益的。</w:t>
      </w:r>
    </w:p>
    <w:p w14:paraId="7B7AD691">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3F09F13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02DD574B">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7382313C">
      <w:pPr>
        <w:pStyle w:val="33"/>
        <w:spacing w:beforeAutospacing="0" w:afterAutospacing="0" w:line="360" w:lineRule="auto"/>
        <w:ind w:firstLine="480"/>
        <w:jc w:val="both"/>
        <w:rPr>
          <w:rFonts w:hint="eastAsia" w:ascii="宋体" w:hAnsi="宋体" w:eastAsia="宋体" w:cs="宋体"/>
          <w:color w:val="auto"/>
          <w:highlight w:val="none"/>
        </w:rPr>
      </w:pPr>
      <w:bookmarkStart w:id="166" w:name="_Toc200451960"/>
      <w:r>
        <w:rPr>
          <w:rFonts w:hint="eastAsia" w:ascii="宋体" w:hAnsi="宋体" w:eastAsia="宋体" w:cs="宋体"/>
          <w:color w:val="auto"/>
          <w:highlight w:val="none"/>
        </w:rPr>
        <w:t>27.5 有下列情形之一的，视为投标人串通投标，投标无效：</w:t>
      </w:r>
      <w:bookmarkEnd w:id="166"/>
    </w:p>
    <w:p w14:paraId="0354405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7C0715D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647CC60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27.5.3不同投标人的投标文件载明的项目管理成员或者联系人员为同一人。</w:t>
      </w:r>
    </w:p>
    <w:p w14:paraId="35160D94">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288BA5F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28、质疑处理</w:t>
      </w:r>
    </w:p>
    <w:p w14:paraId="745F197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28.1提出质疑的供应商应当是参与所质疑项目采购活动的供应商。潜在供应商依法获取其可质疑的采购文件的，可以对采购文件提出质疑。</w:t>
      </w:r>
    </w:p>
    <w:p w14:paraId="6DAABF74">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7486301">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28.2.1对可以质疑的采购文件提出质疑的，为收到采购文件之日或者采购文件公告期限届满之日；</w:t>
      </w:r>
    </w:p>
    <w:p w14:paraId="300196CB">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28.2.2对采购过程提出质疑的，为各采购程序环节结束之日；</w:t>
      </w:r>
    </w:p>
    <w:p w14:paraId="2930284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1143DCD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6E23506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1BAEDAE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p>
    <w:p w14:paraId="102CE13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代理机构及采购人只接收以纸质原件形式送达的质疑,采购人和采购代理机构不接受未填写快递运单的快件。质疑接收部门为盐城市大丰区新丰中学，联系地址：盐城市大丰区城东新区北兴路南侧、冬柏路西侧，联系电话：</w:t>
      </w:r>
      <w:r>
        <w:rPr>
          <w:rFonts w:hint="eastAsia" w:ascii="宋体" w:hAnsi="宋体" w:eastAsia="宋体" w:cs="宋体"/>
          <w:color w:val="auto"/>
          <w:sz w:val="24"/>
          <w:highlight w:val="none"/>
          <w:lang w:val="en-US" w:eastAsia="zh-CN"/>
        </w:rPr>
        <w:t>13962093422</w:t>
      </w:r>
      <w:r>
        <w:rPr>
          <w:rFonts w:hint="eastAsia" w:ascii="宋体" w:hAnsi="宋体" w:eastAsia="宋体" w:cs="宋体"/>
          <w:color w:val="auto"/>
          <w:highlight w:val="none"/>
        </w:rPr>
        <w:t>。</w:t>
      </w:r>
    </w:p>
    <w:p w14:paraId="20F00A4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 以下情形的质疑不予受理</w:t>
      </w:r>
    </w:p>
    <w:p w14:paraId="02875A55">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28.5.1内容不符合《政府采购质疑和投诉办法》第十二条规定的质疑。</w:t>
      </w:r>
    </w:p>
    <w:p w14:paraId="1FBF082B">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28.5.2超出政府采购法定期限的质疑。</w:t>
      </w:r>
    </w:p>
    <w:p w14:paraId="08F1F3D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28.5.3以传真、电子邮件等方式递交的非原件形式的质疑。</w:t>
      </w:r>
    </w:p>
    <w:p w14:paraId="225310C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28.5.4未参加投标活动的供应商或在投标活动中自身权益未受到损害的供应商所提出的质疑。</w:t>
      </w:r>
    </w:p>
    <w:p w14:paraId="5B96EA5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28.5.5供应商组成联合体参加投标，联合体中任何一方或多方未按要求签字、盖章、加盖公章的质疑。</w:t>
      </w:r>
    </w:p>
    <w:p w14:paraId="5FADBC0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4612B19">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29、中标通知书</w:t>
      </w:r>
    </w:p>
    <w:p w14:paraId="344A45A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6098D19">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451C577B">
      <w:pPr>
        <w:pStyle w:val="33"/>
        <w:keepNext/>
        <w:keepLines/>
        <w:spacing w:before="145" w:beforeAutospacing="0" w:after="145" w:afterAutospacing="0" w:line="360" w:lineRule="auto"/>
        <w:jc w:val="both"/>
        <w:rPr>
          <w:rFonts w:hint="eastAsia" w:ascii="宋体" w:hAnsi="宋体" w:eastAsia="宋体" w:cs="宋体"/>
          <w:color w:val="auto"/>
          <w:highlight w:val="none"/>
        </w:rPr>
      </w:pPr>
      <w:bookmarkStart w:id="167" w:name="_Toc120614220"/>
      <w:bookmarkStart w:id="168" w:name="_Toc513029236"/>
      <w:bookmarkStart w:id="169" w:name="_Toc16938552"/>
      <w:bookmarkStart w:id="170" w:name="_Toc20823308"/>
      <w:r>
        <w:rPr>
          <w:rFonts w:hint="eastAsia" w:ascii="宋体" w:hAnsi="宋体" w:eastAsia="宋体" w:cs="宋体"/>
          <w:b/>
          <w:color w:val="auto"/>
          <w:highlight w:val="none"/>
        </w:rPr>
        <w:t>七、授予合同</w:t>
      </w:r>
      <w:bookmarkEnd w:id="167"/>
      <w:bookmarkEnd w:id="168"/>
      <w:bookmarkEnd w:id="169"/>
      <w:bookmarkEnd w:id="170"/>
    </w:p>
    <w:p w14:paraId="7E52D8D1">
      <w:pPr>
        <w:pStyle w:val="33"/>
        <w:spacing w:beforeAutospacing="0" w:afterAutospacing="0" w:line="360" w:lineRule="auto"/>
        <w:ind w:firstLine="480"/>
        <w:jc w:val="both"/>
        <w:rPr>
          <w:rFonts w:hint="eastAsia" w:ascii="宋体" w:hAnsi="宋体" w:eastAsia="宋体" w:cs="宋体"/>
          <w:color w:val="auto"/>
          <w:highlight w:val="none"/>
        </w:rPr>
      </w:pPr>
      <w:bookmarkStart w:id="171" w:name="_Toc513029237"/>
      <w:bookmarkStart w:id="172" w:name="_Toc20823309"/>
      <w:bookmarkStart w:id="173" w:name="_Toc16938553"/>
      <w:r>
        <w:rPr>
          <w:rFonts w:hint="eastAsia" w:ascii="宋体" w:hAnsi="宋体" w:eastAsia="宋体" w:cs="宋体"/>
          <w:color w:val="auto"/>
          <w:highlight w:val="none"/>
        </w:rPr>
        <w:t>30.签订合同</w:t>
      </w:r>
      <w:bookmarkEnd w:id="171"/>
      <w:bookmarkEnd w:id="172"/>
      <w:bookmarkEnd w:id="173"/>
    </w:p>
    <w:p w14:paraId="08512A89">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02BE6AF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339B71D9">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30.3签订合同后，中标人不得将合同标的进行转包。未经采购人同意，中标人也不得采用分包的形式履行合同，否则采购人有权解除合同。转包或分包造成采购人损失的，中标人应承担相应赔偿责任。</w:t>
      </w:r>
    </w:p>
    <w:p w14:paraId="16A5B429">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31、服务（包含与服务相关的货物）的追加</w:t>
      </w:r>
    </w:p>
    <w:p w14:paraId="1CB84EE4">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026C41">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32.政府采购政策功能落实</w:t>
      </w:r>
    </w:p>
    <w:p w14:paraId="183FFDA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32.1政府采购线上合同信用融资政策</w:t>
      </w:r>
    </w:p>
    <w:p w14:paraId="36C2D49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093E7E5">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32.2进口产品</w:t>
      </w:r>
    </w:p>
    <w:p w14:paraId="571E6A6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066008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32.3中小企业、监狱企业及残疾人福利性单位</w:t>
      </w:r>
    </w:p>
    <w:p w14:paraId="7693DE3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32.3.1中小企业定义：</w:t>
      </w:r>
    </w:p>
    <w:p w14:paraId="1E02C34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5FB912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32.3.2供应商提供的货物、工程或者服务符合下列情形的，享受中小企业扶持政策：</w:t>
      </w:r>
    </w:p>
    <w:p w14:paraId="03A7C09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32.3.2.1在货物采购项目中，货物由中小企业制造，即货物由中小企业生产且使用该中小企业商号或者注册商标；</w:t>
      </w:r>
    </w:p>
    <w:p w14:paraId="65CF525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32.3.2.2在工程采购项目中，工程由中小企业承建，即工程施工单位为中小企业；</w:t>
      </w:r>
    </w:p>
    <w:p w14:paraId="1338A3C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32.3.2.3在服务采购项目中，服务由中小企业承接，即提供服务的人员为中小企业依照《中华人民共和国劳动合同法》订立劳动合同的从业人员。</w:t>
      </w:r>
    </w:p>
    <w:p w14:paraId="2B9CB54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32.3.3在货物采购项目中，供应商提供的货物既有中小企业制造货物，也有大型企业制造货物的，不享受中小企业扶持政策。</w:t>
      </w:r>
    </w:p>
    <w:p w14:paraId="4426DD6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32.3.4以联合体形式参加政府采购活动，联合体各方均为中小企业的，联合体视同中小企业。其中，联合体各方均为小微企业的，联合体视同小微企业。</w:t>
      </w:r>
    </w:p>
    <w:p w14:paraId="529CC87B">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B67ED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32.3.6残疾人福利单位定义：享受政府采购支持政策的残疾人福利性单位应当同时满足以下条件：</w:t>
      </w:r>
    </w:p>
    <w:p w14:paraId="11A91C3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32.3.6.1安置的残疾人占本单位在职职工人数的比例不低于25%（含25%），并且安置的残疾人人数不少于10 人（含10 人）；</w:t>
      </w:r>
    </w:p>
    <w:p w14:paraId="08F5CA3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32.3.6.2依法与安置的每位残疾人签订了一年以上（含一年）的劳动合同或服务协议；</w:t>
      </w:r>
    </w:p>
    <w:p w14:paraId="2D3E5DEB">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32.3.6.3为安置的每位残疾人按月足额缴纳了基本养老保险、基本医疗保险、失业保险、工伤保险和生育保险等社会保险费；</w:t>
      </w:r>
    </w:p>
    <w:p w14:paraId="5AB44A0D">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32.3.6.4通过银行等金融机构向安置的每位残疾人，按月支付了不低于单位所在区县适用的经省级人民政府批准的月最低工资标准的工资；</w:t>
      </w:r>
    </w:p>
    <w:p w14:paraId="18F7D50B">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32.3.6.5提供本单位制造的货物、承担的工程或者服务（以下简称产品），或者提供其他残疾人福利性单位制造的货物（不包括使用非残疾人福利性单位注册商标的货物）；</w:t>
      </w:r>
    </w:p>
    <w:p w14:paraId="523C7134">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DD5D164">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32.3.7本项目是否专门面向中小企业预留采购份额见第一章《招标公告》。</w:t>
      </w:r>
    </w:p>
    <w:p w14:paraId="50FB51C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32.3.8采购标的对应的中小企业划分标准所属行业见第四章《采购需求》。</w:t>
      </w:r>
    </w:p>
    <w:p w14:paraId="058BDE1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32.3.9小微企业价格评审优惠的政策：见第五章《评标方法和评标标准》。</w:t>
      </w:r>
    </w:p>
    <w:p w14:paraId="08EA460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32.4政府采购节能产品、环境标志产品</w:t>
      </w:r>
    </w:p>
    <w:p w14:paraId="166B0E7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E13D865">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1F8CA64">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32.5绿色包装</w:t>
      </w:r>
    </w:p>
    <w:p w14:paraId="779D83C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247FBAB">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32.6政府采购创新产品</w:t>
      </w:r>
    </w:p>
    <w:p w14:paraId="0B432A3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采购人优先采购各级政府部门公开发布的有效期内的创新产品、创新服务、首台套、首购首用等《目录》的创新产品。</w:t>
      </w:r>
    </w:p>
    <w:p w14:paraId="6014395A">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32.7绿色数据中心政策 </w:t>
      </w:r>
    </w:p>
    <w:p w14:paraId="61780CC8">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A0E15A3">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32.8履约保证金政策</w:t>
      </w:r>
    </w:p>
    <w:p w14:paraId="70125E3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确需收取履约保证金的，履约保证金的缴纳形式：</w:t>
      </w:r>
    </w:p>
    <w:p w14:paraId="13F374F2">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745528F">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如以履约保函（保险）形式缴纳履约保证金，供应商可通过政府采购电子履约保函（保险）平台（www.jsdzbh.com）在线申请履约保函（保险）。</w:t>
      </w:r>
    </w:p>
    <w:p w14:paraId="4C9CE5C7">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履约保证金金额为</w:t>
      </w:r>
      <w:r>
        <w:rPr>
          <w:rFonts w:hint="eastAsia" w:ascii="宋体" w:hAnsi="宋体" w:eastAsia="宋体" w:cs="宋体"/>
          <w:b/>
          <w:bCs/>
          <w:color w:val="auto"/>
          <w:highlight w:val="none"/>
          <w:u w:val="single"/>
        </w:rPr>
        <w:t>合同金额的10%</w:t>
      </w:r>
      <w:r>
        <w:rPr>
          <w:rFonts w:hint="eastAsia" w:ascii="宋体" w:hAnsi="宋体" w:eastAsia="宋体" w:cs="宋体"/>
          <w:color w:val="auto"/>
          <w:highlight w:val="none"/>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69F8D6E">
      <w:pPr>
        <w:pStyle w:val="33"/>
        <w:numPr>
          <w:ilvl w:val="0"/>
          <w:numId w:val="1"/>
        </w:numPr>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预付款制度</w:t>
      </w:r>
    </w:p>
    <w:p w14:paraId="6D307AB0">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本项目落实预付款制度，预付款比例为合同价款的</w:t>
      </w:r>
      <w:r>
        <w:rPr>
          <w:rFonts w:hint="eastAsia" w:ascii="宋体" w:hAnsi="宋体" w:eastAsia="宋体" w:cs="宋体"/>
          <w:color w:val="auto"/>
          <w:highlight w:val="none"/>
          <w:u w:val="single"/>
        </w:rPr>
        <w:t>_30_</w:t>
      </w:r>
      <w:r>
        <w:rPr>
          <w:rFonts w:hint="eastAsia" w:ascii="宋体" w:hAnsi="宋体" w:eastAsia="宋体" w:cs="宋体"/>
          <w:color w:val="auto"/>
          <w:highlight w:val="none"/>
        </w:rPr>
        <w:t>%。在签订合同时，中标、成交供应商明确书面表示无需预付款或者主动要求降低预付款比例的，采购人可就预付款比例作相应调整。</w:t>
      </w:r>
    </w:p>
    <w:p w14:paraId="0B030C41">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34.其他</w:t>
      </w:r>
    </w:p>
    <w:p w14:paraId="5B9904C3">
      <w:pPr>
        <w:pStyle w:val="33"/>
        <w:spacing w:beforeAutospacing="0" w:afterAutospacing="0" w:line="360" w:lineRule="auto"/>
        <w:ind w:firstLine="482"/>
        <w:jc w:val="both"/>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本项目报价应包含但不限于</w:t>
      </w:r>
      <w:r>
        <w:rPr>
          <w:rFonts w:hint="eastAsia" w:ascii="宋体" w:hAnsi="宋体" w:eastAsia="宋体" w:cs="宋体"/>
          <w:b/>
          <w:bCs/>
          <w:color w:val="auto"/>
          <w:highlight w:val="none"/>
          <w:lang w:val="zh-CN"/>
        </w:rPr>
        <w:t>人员薪资、保险、劳保福利、税金、管理费、利润、投标所需的各项费用、国家政策性文件调整所涉及的相关费用、不可预见费（应充分考虑所有风险、责任等）所有一切费用。</w:t>
      </w:r>
    </w:p>
    <w:p w14:paraId="7072B484">
      <w:pPr>
        <w:spacing w:line="360" w:lineRule="auto"/>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14:paraId="07236355">
      <w:pPr>
        <w:pStyle w:val="33"/>
        <w:spacing w:beforeAutospacing="0" w:afterAutospacing="0" w:line="360" w:lineRule="auto"/>
        <w:ind w:right="840"/>
        <w:jc w:val="center"/>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第三章  合同文本</w:t>
      </w:r>
      <w:r>
        <w:rPr>
          <w:rFonts w:ascii="黑体" w:hAnsi="宋体" w:eastAsia="黑体" w:cs="黑体"/>
          <w:b/>
          <w:color w:val="auto"/>
          <w:sz w:val="44"/>
          <w:szCs w:val="44"/>
          <w:highlight w:val="none"/>
        </w:rPr>
        <w:t> </w:t>
      </w:r>
    </w:p>
    <w:p w14:paraId="0F88C915">
      <w:pPr>
        <w:pStyle w:val="33"/>
        <w:spacing w:before="145" w:beforeAutospacing="0" w:after="145" w:afterAutospacing="0" w:line="360" w:lineRule="auto"/>
        <w:jc w:val="center"/>
        <w:rPr>
          <w:color w:val="auto"/>
          <w:highlight w:val="none"/>
        </w:rPr>
      </w:pPr>
      <w:r>
        <w:rPr>
          <w:rFonts w:hint="eastAsia" w:ascii="宋体" w:hAnsi="宋体" w:eastAsia="宋体" w:cs="宋体"/>
          <w:b/>
          <w:color w:val="auto"/>
          <w:highlight w:val="none"/>
        </w:rPr>
        <w:t>盐城市政府采购合同（服务）（合同编号）</w:t>
      </w:r>
    </w:p>
    <w:p w14:paraId="2863FEED">
      <w:pPr>
        <w:pStyle w:val="238"/>
        <w:spacing w:line="360" w:lineRule="auto"/>
        <w:ind w:firstLine="480"/>
        <w:rPr>
          <w:rFonts w:hint="eastAsia" w:hAnsi="宋体" w:eastAsia="宋体" w:cs="宋体"/>
          <w:color w:val="auto"/>
          <w:sz w:val="24"/>
          <w:szCs w:val="24"/>
          <w:highlight w:val="none"/>
        </w:rPr>
      </w:pPr>
      <w:bookmarkStart w:id="174" w:name="_Toc479757211"/>
      <w:bookmarkStart w:id="175" w:name="_Toc20823346"/>
      <w:bookmarkStart w:id="176" w:name="_Toc120614244"/>
      <w:bookmarkStart w:id="177" w:name="_Toc16938590"/>
      <w:bookmarkStart w:id="178" w:name="_Hlt16619350"/>
      <w:bookmarkStart w:id="179" w:name="_Toc462564139"/>
      <w:bookmarkStart w:id="180" w:name="_Hlt16619369"/>
      <w:r>
        <w:rPr>
          <w:rFonts w:hint="eastAsia" w:hAnsi="宋体" w:eastAsia="宋体" w:cs="宋体"/>
          <w:color w:val="auto"/>
          <w:sz w:val="24"/>
          <w:szCs w:val="24"/>
          <w:highlight w:val="none"/>
        </w:rPr>
        <w:t>甲方：</w:t>
      </w:r>
      <w:r>
        <w:rPr>
          <w:rFonts w:hint="eastAsia" w:hAnsi="宋体" w:eastAsia="宋体" w:cs="宋体"/>
          <w:color w:val="auto"/>
          <w:sz w:val="24"/>
          <w:szCs w:val="24"/>
          <w:highlight w:val="none"/>
          <w:u w:val="single"/>
        </w:rPr>
        <w:t>盐城市大丰区新丰中学</w:t>
      </w:r>
      <w:r>
        <w:rPr>
          <w:rFonts w:hint="eastAsia" w:hAnsi="宋体" w:eastAsia="宋体" w:cs="宋体"/>
          <w:color w:val="auto"/>
          <w:sz w:val="24"/>
          <w:szCs w:val="24"/>
          <w:highlight w:val="none"/>
        </w:rPr>
        <w:t>（以下简称甲方）</w:t>
      </w:r>
    </w:p>
    <w:p w14:paraId="1844B5B8">
      <w:pPr>
        <w:pStyle w:val="238"/>
        <w:spacing w:line="360" w:lineRule="auto"/>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乙方：</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（以下简称乙方）</w:t>
      </w:r>
    </w:p>
    <w:p w14:paraId="7689DA1D">
      <w:pPr>
        <w:pStyle w:val="238"/>
        <w:spacing w:line="360" w:lineRule="auto"/>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甲、乙双方根据</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eastAsia="zh-CN"/>
        </w:rPr>
        <w:t xml:space="preserve"> 盐城市大丰区新丰中学 2026-2027 学年度食堂餐饮服务项目</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公开招标的中标结果及中标通知书，经协商一致后签署本合同。</w:t>
      </w:r>
    </w:p>
    <w:p w14:paraId="62CDE197">
      <w:pPr>
        <w:spacing w:line="460" w:lineRule="exact"/>
        <w:ind w:firstLine="482"/>
        <w:rPr>
          <w:rFonts w:ascii="Arial" w:hAnsi="Arial" w:eastAsia="Arial" w:cs="Arial"/>
          <w:b/>
          <w:bCs/>
          <w:color w:val="auto"/>
          <w:sz w:val="24"/>
          <w:highlight w:val="none"/>
        </w:rPr>
      </w:pPr>
      <w:r>
        <w:rPr>
          <w:rFonts w:hint="eastAsia" w:ascii="宋体" w:hAnsi="宋体" w:eastAsia="宋体" w:cs="宋体"/>
          <w:b/>
          <w:bCs/>
          <w:color w:val="auto"/>
          <w:sz w:val="24"/>
          <w:highlight w:val="none"/>
        </w:rPr>
        <w:t>一、承包范围</w:t>
      </w:r>
    </w:p>
    <w:p w14:paraId="78B3CBA9">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承包范围：</w:t>
      </w:r>
      <w:r>
        <w:rPr>
          <w:rFonts w:hint="eastAsia" w:ascii="宋体" w:hAnsi="宋体" w:eastAsia="宋体" w:cs="宋体"/>
          <w:color w:val="auto"/>
          <w:sz w:val="24"/>
          <w:highlight w:val="none"/>
          <w:lang w:eastAsia="zh-CN"/>
        </w:rPr>
        <w:t>盐城市大丰区新丰中学 2026-2027 学年度食堂餐饮服务</w:t>
      </w:r>
    </w:p>
    <w:p w14:paraId="6AB81ECD">
      <w:pPr>
        <w:spacing w:line="460" w:lineRule="exact"/>
        <w:ind w:firstLine="482"/>
        <w:rPr>
          <w:rFonts w:ascii="Arial" w:hAnsi="Arial" w:eastAsia="Arial" w:cs="Arial"/>
          <w:b/>
          <w:bCs/>
          <w:color w:val="auto"/>
          <w:sz w:val="24"/>
          <w:highlight w:val="none"/>
        </w:rPr>
      </w:pPr>
      <w:r>
        <w:rPr>
          <w:rFonts w:hint="eastAsia" w:ascii="宋体" w:hAnsi="宋体" w:eastAsia="宋体" w:cs="宋体"/>
          <w:b/>
          <w:bCs/>
          <w:color w:val="auto"/>
          <w:sz w:val="24"/>
          <w:highlight w:val="none"/>
        </w:rPr>
        <w:t>二、承包服务内容：</w:t>
      </w:r>
    </w:p>
    <w:p w14:paraId="7DC12D27">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主要工作量细化：⑴粗加工（包括学校所有配送的食材，如蔬菜、鸡、鱼、肉、虾等）；⑵蒸饭煮粥下面条等；⑶细加工（切配，加工成品等）；⑷烹调；⑸分发；⑹保洁；⑺消洗；⑻室内外环境整理；⑼留样试吃、存放、登记、包括相关安全卫生台账的整理以及相关平台录入等；⑽食堂员工规范操作、消防、食品安全等培训。</w:t>
      </w:r>
    </w:p>
    <w:p w14:paraId="32E82B00">
      <w:pPr>
        <w:widowControl/>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w:t>
      </w:r>
      <w:r>
        <w:rPr>
          <w:rFonts w:hint="default" w:ascii="宋体" w:hAnsi="宋体" w:eastAsia="宋体" w:cs="宋体"/>
          <w:color w:val="auto"/>
          <w:sz w:val="24"/>
          <w:highlight w:val="none"/>
          <w:lang w:val="en-US" w:eastAsia="zh-CN"/>
        </w:rPr>
        <w:t>工作服务时间要求：师生在校的工作日（具体供餐时间按甲方通知执行）；学校工作需要安排的临时供餐服务（包括但不限于寒暑假师生加班、培训、大型活动、重要会议等），乙方需无条件提供，供餐标准按甲方临时通知执行，不得额外向甲方收取费用。</w:t>
      </w:r>
    </w:p>
    <w:p w14:paraId="2CE6D34D">
      <w:pPr>
        <w:widowControl/>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default" w:ascii="宋体" w:hAnsi="宋体" w:eastAsia="宋体" w:cs="宋体"/>
          <w:color w:val="auto"/>
          <w:sz w:val="24"/>
          <w:highlight w:val="none"/>
          <w:lang w:val="en-US" w:eastAsia="zh-CN"/>
        </w:rPr>
        <w:t>供餐标准：乙方需严格按照甲方制定的餐食标准提供服务，确保餐食新鲜、卫生、营养均衡，符合学生生长发育需求；餐食分量、价格需提前报甲方备案，未经甲方同意不得擅自调整；若师生对餐食质量、分量有异议，乙方需在24小时内整改，并向甲方提交整改报告。</w:t>
      </w:r>
    </w:p>
    <w:p w14:paraId="50ADAEFD">
      <w:pPr>
        <w:widowControl/>
        <w:spacing w:line="460" w:lineRule="exact"/>
        <w:ind w:firstLine="47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三、合同期限：一年，自签订合同之日起计算。</w:t>
      </w:r>
    </w:p>
    <w:p w14:paraId="30F0F8B5">
      <w:pPr>
        <w:widowControl/>
        <w:spacing w:line="460" w:lineRule="exact"/>
        <w:ind w:firstLine="482"/>
        <w:rPr>
          <w:rFonts w:ascii="宋体" w:hAnsi="宋体" w:eastAsia="Arial" w:cs="Arial"/>
          <w:bCs/>
          <w:color w:val="auto"/>
          <w:sz w:val="24"/>
          <w:highlight w:val="none"/>
        </w:rPr>
      </w:pPr>
      <w:r>
        <w:rPr>
          <w:rFonts w:hint="eastAsia" w:ascii="宋体" w:hAnsi="宋体" w:eastAsia="宋体" w:cs="宋体"/>
          <w:b/>
          <w:bCs/>
          <w:color w:val="auto"/>
          <w:sz w:val="24"/>
          <w:highlight w:val="none"/>
        </w:rPr>
        <w:t>四、经营形式：</w:t>
      </w:r>
      <w:r>
        <w:rPr>
          <w:rFonts w:hint="eastAsia" w:ascii="宋体" w:hAnsi="宋体" w:eastAsia="宋体" w:cs="宋体"/>
          <w:bCs/>
          <w:color w:val="auto"/>
          <w:sz w:val="24"/>
          <w:highlight w:val="none"/>
        </w:rPr>
        <w:t>由乙方自主经营、独立核算、自负盈亏。</w:t>
      </w:r>
    </w:p>
    <w:p w14:paraId="282BFEBE">
      <w:pPr>
        <w:widowControl/>
        <w:spacing w:line="460" w:lineRule="exact"/>
        <w:ind w:firstLine="482"/>
        <w:rPr>
          <w:rFonts w:ascii="Times New Roman" w:hAnsi="Times New Roman" w:eastAsia="Arial" w:cs="Arial"/>
          <w:b/>
          <w:bCs/>
          <w:color w:val="auto"/>
          <w:sz w:val="24"/>
          <w:highlight w:val="none"/>
        </w:rPr>
      </w:pPr>
      <w:r>
        <w:rPr>
          <w:rFonts w:hint="eastAsia" w:ascii="宋体" w:hAnsi="宋体" w:eastAsia="宋体" w:cs="宋体"/>
          <w:b/>
          <w:bCs/>
          <w:color w:val="auto"/>
          <w:sz w:val="24"/>
          <w:highlight w:val="none"/>
        </w:rPr>
        <w:t>五、经营要求：</w:t>
      </w:r>
    </w:p>
    <w:p w14:paraId="4F1A15A0">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1、食堂仅由乙方一家餐饮企业承包运行，不得分包、转包。　　</w:t>
      </w:r>
    </w:p>
    <w:p w14:paraId="656123DE">
      <w:pPr>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2、乙方不得将食堂私自转让或委托他人经营,更不能利用校有资产搞不法经营，不得有参与学校食堂的材料和食材等任何供货行为出现。</w:t>
      </w:r>
      <w:r>
        <w:rPr>
          <w:rFonts w:hint="default" w:ascii="宋体" w:hAnsi="宋体" w:eastAsia="宋体" w:cs="宋体"/>
          <w:color w:val="auto"/>
          <w:sz w:val="24"/>
          <w:highlight w:val="none"/>
          <w:lang w:val="en-US" w:eastAsia="zh-CN"/>
        </w:rPr>
        <w:t>一经发现，甲方有权取消其承包资格，没收履约保证金及食品安全保证金，并要求乙方赔偿由此给甲方造成的一切损失，必要时诉诸法律。</w:t>
      </w:r>
    </w:p>
    <w:p w14:paraId="76B5FABE">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3、餐厅、操作间、售饭间、洗消间、粗细加工间、更衣室、食堂周边及垃圾</w:t>
      </w:r>
      <w:r>
        <w:rPr>
          <w:rFonts w:hint="eastAsia" w:ascii="Arial" w:hAnsi="Arial" w:eastAsia="宋体" w:cs="仿宋_GB2312"/>
          <w:color w:val="auto"/>
          <w:sz w:val="24"/>
          <w:highlight w:val="none"/>
        </w:rPr>
        <w:t>房</w:t>
      </w:r>
      <w:r>
        <w:rPr>
          <w:rFonts w:hint="eastAsia" w:ascii="宋体" w:hAnsi="宋体" w:eastAsia="宋体" w:cs="宋体"/>
          <w:color w:val="auto"/>
          <w:sz w:val="24"/>
          <w:highlight w:val="none"/>
        </w:rPr>
        <w:t>等场所均属于</w:t>
      </w:r>
      <w:r>
        <w:rPr>
          <w:rFonts w:hint="eastAsia" w:ascii="Arial" w:hAnsi="Arial" w:eastAsia="宋体" w:cs="仿宋_GB2312"/>
          <w:color w:val="auto"/>
          <w:sz w:val="24"/>
          <w:highlight w:val="none"/>
        </w:rPr>
        <w:t>乙</w:t>
      </w:r>
      <w:r>
        <w:rPr>
          <w:rFonts w:hint="eastAsia" w:ascii="宋体" w:hAnsi="宋体" w:eastAsia="宋体" w:cs="宋体"/>
          <w:color w:val="auto"/>
          <w:sz w:val="24"/>
          <w:highlight w:val="none"/>
        </w:rPr>
        <w:t>方管理范围。食堂工作人员由乙方自行安排，乙方需与食堂工作人员签订劳动合同（所有工作人员不得低于政府部门规定的最低工资标准及社保最低缴纳标准）。工作人员要遵守餐饮法规以及校纪校规，爱护公物，节约水电，要有良好的服务态度并监督实施，不与师生发生争吵或冲突，如发现违规，学校有权视情节轻重提出处理意见。</w:t>
      </w:r>
    </w:p>
    <w:p w14:paraId="539B1FC5">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4、乙方要安排专人每天对学生餐厅进行紫外线消毒和其他方式的消毒，并做好食品卫生安全台账资料。高温严寒季节，乙方要安排专人及时开关空调。</w:t>
      </w:r>
    </w:p>
    <w:p w14:paraId="04D35A55">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5、卫生检疫、工作人员</w:t>
      </w:r>
      <w:r>
        <w:rPr>
          <w:rFonts w:hint="eastAsia" w:ascii="宋体" w:hAnsi="宋体" w:eastAsia="宋体" w:cs="宋体"/>
          <w:color w:val="auto"/>
          <w:sz w:val="24"/>
          <w:highlight w:val="none"/>
          <w:lang w:val="en-US" w:eastAsia="zh-CN"/>
        </w:rPr>
        <w:t>工资、</w:t>
      </w:r>
      <w:r>
        <w:rPr>
          <w:rFonts w:hint="eastAsia" w:ascii="宋体" w:hAnsi="宋体" w:eastAsia="宋体" w:cs="宋体"/>
          <w:color w:val="auto"/>
          <w:sz w:val="24"/>
          <w:highlight w:val="none"/>
        </w:rPr>
        <w:t>各种保险、意外伤残、疾病、福利等费用均由乙方自理，因乙方的管理不善、操作不当造成师生食物中毒及其它安全事故,由乙方负全部责任</w:t>
      </w:r>
      <w:r>
        <w:rPr>
          <w:rFonts w:hint="eastAsia" w:ascii="宋体" w:hAnsi="宋体" w:eastAsia="宋体" w:cs="宋体"/>
          <w:color w:val="auto"/>
          <w:sz w:val="24"/>
          <w:highlight w:val="none"/>
          <w:lang w:eastAsia="zh-CN"/>
        </w:rPr>
        <w:t>（</w:t>
      </w:r>
      <w:r>
        <w:rPr>
          <w:rFonts w:hint="default" w:ascii="宋体" w:hAnsi="宋体" w:eastAsia="宋体" w:cs="宋体"/>
          <w:color w:val="auto"/>
          <w:sz w:val="24"/>
          <w:highlight w:val="none"/>
          <w:lang w:val="en-US" w:eastAsia="zh-CN"/>
        </w:rPr>
        <w:t>包括但不限于师生医疗费用、赔偿费用、行政处罚费用、善后处理费用等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3FAF842C">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6、整个食堂的卫生防疫、就餐环境必须达到权威部门的标准，校方有权监督，并定时</w:t>
      </w:r>
      <w:r>
        <w:rPr>
          <w:rFonts w:hint="eastAsia" w:ascii="宋体" w:hAnsi="宋体" w:eastAsia="宋体" w:cs="宋体"/>
          <w:color w:val="auto"/>
          <w:sz w:val="24"/>
          <w:highlight w:val="none"/>
          <w:lang w:val="en-US" w:eastAsia="zh-CN"/>
        </w:rPr>
        <w:t>上级部门</w:t>
      </w:r>
      <w:r>
        <w:rPr>
          <w:rFonts w:hint="eastAsia" w:ascii="宋体" w:hAnsi="宋体" w:eastAsia="宋体" w:cs="宋体"/>
          <w:color w:val="auto"/>
          <w:sz w:val="24"/>
          <w:highlight w:val="none"/>
        </w:rPr>
        <w:t>检查。</w:t>
      </w:r>
    </w:p>
    <w:p w14:paraId="07A9FA4B">
      <w:pPr>
        <w:spacing w:line="46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7、乙方必须对员工提供一年四季统一制式的服装、靴子、工作帽等。乙方工作人员必须着装上岗，自觉遵守本行业的操作规程，安全作业，严格遵守甲方的各种规章制度</w:t>
      </w:r>
      <w:r>
        <w:rPr>
          <w:rFonts w:hint="eastAsia" w:ascii="宋体" w:hAnsi="宋体" w:eastAsia="宋体" w:cs="宋体"/>
          <w:color w:val="auto"/>
          <w:sz w:val="24"/>
          <w:highlight w:val="none"/>
          <w:lang w:eastAsia="zh-CN"/>
        </w:rPr>
        <w:t>。</w:t>
      </w:r>
    </w:p>
    <w:p w14:paraId="02385469">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8、乙方另需负责学校寒暑假和节假日师生加班、培训以及临时的早中晚餐的供餐服务，乙方需无条件提供服务。</w:t>
      </w:r>
    </w:p>
    <w:p w14:paraId="39512AF2">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b/>
          <w:bCs/>
          <w:color w:val="auto"/>
          <w:sz w:val="24"/>
          <w:highlight w:val="none"/>
        </w:rPr>
        <w:t>根据测算，学校食堂至少需要配备全日制工作人员37人。其中至少应包含主厨</w:t>
      </w: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名</w:t>
      </w:r>
      <w:r>
        <w:rPr>
          <w:rFonts w:hint="eastAsia" w:ascii="宋体" w:hAnsi="宋体" w:eastAsia="宋体" w:cs="宋体"/>
          <w:b/>
          <w:bCs/>
          <w:color w:val="auto"/>
          <w:sz w:val="24"/>
          <w:highlight w:val="none"/>
          <w:lang w:val="en-US" w:eastAsia="zh-CN"/>
        </w:rPr>
        <w:t>且具有厨师职业资格证书，其余为服务人员</w:t>
      </w:r>
      <w:r>
        <w:rPr>
          <w:rFonts w:hint="eastAsia" w:ascii="宋体" w:hAnsi="宋体" w:eastAsia="宋体" w:cs="宋体"/>
          <w:b/>
          <w:bCs/>
          <w:color w:val="auto"/>
          <w:sz w:val="24"/>
          <w:highlight w:val="none"/>
        </w:rPr>
        <w:t>。乙方需确保以上人员到位，</w:t>
      </w:r>
      <w:r>
        <w:rPr>
          <w:rFonts w:hint="default" w:ascii="宋体" w:hAnsi="宋体" w:eastAsia="宋体" w:cs="宋体"/>
          <w:color w:val="auto"/>
          <w:sz w:val="24"/>
          <w:highlight w:val="none"/>
          <w:lang w:val="en-US" w:eastAsia="zh-CN"/>
        </w:rPr>
        <w:t>甲方每周检查1次人员到岗情况，若发现人员缺岗（每次缺岗1人及以上），</w:t>
      </w:r>
      <w:r>
        <w:rPr>
          <w:rFonts w:hint="eastAsia" w:ascii="宋体" w:hAnsi="宋体" w:eastAsia="宋体" w:cs="宋体"/>
          <w:color w:val="auto"/>
          <w:sz w:val="24"/>
          <w:highlight w:val="none"/>
          <w:lang w:val="en-US" w:eastAsia="zh-CN"/>
        </w:rPr>
        <w:t>乙方需承担</w:t>
      </w:r>
      <w:r>
        <w:rPr>
          <w:rFonts w:hint="default" w:ascii="宋体" w:hAnsi="宋体" w:eastAsia="宋体" w:cs="宋体"/>
          <w:color w:val="auto"/>
          <w:sz w:val="24"/>
          <w:highlight w:val="none"/>
          <w:lang w:val="en-US" w:eastAsia="zh-CN"/>
        </w:rPr>
        <w:t>每人次500元</w:t>
      </w:r>
      <w:r>
        <w:rPr>
          <w:rFonts w:hint="eastAsia" w:ascii="宋体" w:hAnsi="宋体" w:eastAsia="宋体" w:cs="宋体"/>
          <w:color w:val="auto"/>
          <w:sz w:val="24"/>
          <w:highlight w:val="none"/>
          <w:lang w:val="en-US" w:eastAsia="zh-CN"/>
        </w:rPr>
        <w:t>违约金</w:t>
      </w:r>
      <w:r>
        <w:rPr>
          <w:rFonts w:hint="default" w:ascii="宋体" w:hAnsi="宋体" w:eastAsia="宋体" w:cs="宋体"/>
          <w:color w:val="auto"/>
          <w:sz w:val="24"/>
          <w:highlight w:val="none"/>
          <w:lang w:val="en-US" w:eastAsia="zh-CN"/>
        </w:rPr>
        <w:t>，累计缺岗5次及以上，甲方有权终止合同，没收履约保证金</w:t>
      </w:r>
      <w:r>
        <w:rPr>
          <w:rFonts w:hint="eastAsia" w:ascii="宋体" w:hAnsi="宋体" w:eastAsia="宋体" w:cs="宋体"/>
          <w:color w:val="auto"/>
          <w:sz w:val="24"/>
          <w:highlight w:val="none"/>
        </w:rPr>
        <w:t>。</w:t>
      </w:r>
    </w:p>
    <w:p w14:paraId="4312DED6">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所有员工年龄不超过60周岁。同时要求身体健康、无残疾、无传染病，需持</w:t>
      </w:r>
      <w:r>
        <w:rPr>
          <w:rFonts w:hint="eastAsia" w:ascii="宋体" w:hAnsi="宋体" w:eastAsia="宋体" w:cs="宋体"/>
          <w:color w:val="auto"/>
          <w:sz w:val="24"/>
          <w:highlight w:val="none"/>
          <w:lang w:val="en-US" w:eastAsia="zh-CN"/>
        </w:rPr>
        <w:t>2026</w:t>
      </w:r>
      <w:r>
        <w:rPr>
          <w:rFonts w:hint="eastAsia" w:ascii="宋体" w:hAnsi="宋体" w:eastAsia="宋体" w:cs="宋体"/>
          <w:color w:val="auto"/>
          <w:sz w:val="24"/>
          <w:highlight w:val="none"/>
        </w:rPr>
        <w:t>年《健康证》上岗。以上各项要求需提供证明材料（身份证、健康证），如有材料作假，乙方承担所有法律责任。</w:t>
      </w:r>
    </w:p>
    <w:p w14:paraId="7015C823">
      <w:pPr>
        <w:widowControl/>
        <w:spacing w:line="460" w:lineRule="exact"/>
        <w:ind w:firstLine="480"/>
        <w:rPr>
          <w:rFonts w:hint="eastAsia" w:ascii="宋体" w:hAnsi="宋体" w:eastAsia="宋体" w:cs="宋体"/>
          <w:color w:val="auto"/>
          <w:sz w:val="24"/>
          <w:highlight w:val="none"/>
        </w:rPr>
      </w:pPr>
      <w:r>
        <w:rPr>
          <w:rFonts w:cs="仿宋_GB2312" w:asciiTheme="minorEastAsia" w:hAnsiTheme="minorEastAsia"/>
          <w:color w:val="auto"/>
          <w:sz w:val="24"/>
          <w:highlight w:val="none"/>
        </w:rPr>
        <w:t>1</w:t>
      </w:r>
      <w:r>
        <w:rPr>
          <w:rFonts w:hint="eastAsia" w:cs="仿宋_GB2312" w:asciiTheme="minorEastAsia" w:hAnsiTheme="minorEastAsia"/>
          <w:color w:val="auto"/>
          <w:sz w:val="24"/>
          <w:highlight w:val="none"/>
        </w:rPr>
        <w:t>0</w:t>
      </w:r>
      <w:r>
        <w:rPr>
          <w:rFonts w:hint="eastAsia" w:cs="宋体" w:asciiTheme="minorEastAsia" w:hAnsiTheme="minorEastAsia"/>
          <w:color w:val="auto"/>
          <w:sz w:val="24"/>
          <w:highlight w:val="none"/>
        </w:rPr>
        <w:t>、</w:t>
      </w:r>
      <w:r>
        <w:rPr>
          <w:rFonts w:hint="eastAsia" w:ascii="宋体" w:hAnsi="宋体" w:eastAsia="宋体" w:cs="宋体"/>
          <w:color w:val="auto"/>
          <w:sz w:val="24"/>
          <w:highlight w:val="none"/>
        </w:rPr>
        <w:t>乙方在合同执行期间不得存在下列情形：</w:t>
      </w:r>
    </w:p>
    <w:p w14:paraId="7507FF46">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①</w:t>
      </w:r>
      <w:r>
        <w:rPr>
          <w:rFonts w:hint="eastAsia" w:ascii="宋体" w:hAnsi="宋体" w:eastAsia="宋体" w:cs="宋体"/>
          <w:color w:val="auto"/>
          <w:sz w:val="24"/>
          <w:highlight w:val="none"/>
        </w:rPr>
        <w:t>录用有犯罪记录的员工参与甲方食堂服务；</w:t>
      </w:r>
    </w:p>
    <w:p w14:paraId="2E04E6E4">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②</w:t>
      </w:r>
      <w:r>
        <w:rPr>
          <w:rFonts w:hint="eastAsia" w:ascii="宋体" w:hAnsi="宋体" w:eastAsia="宋体" w:cs="宋体"/>
          <w:color w:val="auto"/>
          <w:sz w:val="24"/>
          <w:highlight w:val="none"/>
        </w:rPr>
        <w:t>录用有参加非法组织经历的员工参与甲方食堂服务；</w:t>
      </w:r>
    </w:p>
    <w:p w14:paraId="0544DC7B">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③</w:t>
      </w:r>
      <w:r>
        <w:rPr>
          <w:rFonts w:hint="eastAsia" w:ascii="宋体" w:hAnsi="宋体" w:eastAsia="宋体" w:cs="宋体"/>
          <w:color w:val="auto"/>
          <w:sz w:val="24"/>
          <w:highlight w:val="none"/>
        </w:rPr>
        <w:t>引入在食品经营过程中发生食品安全事故的单位和个人参与甲方食堂服务；</w:t>
      </w:r>
    </w:p>
    <w:p w14:paraId="7735081E">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④</w:t>
      </w:r>
      <w:r>
        <w:rPr>
          <w:rFonts w:hint="eastAsia" w:ascii="宋体" w:hAnsi="宋体" w:eastAsia="宋体" w:cs="宋体"/>
          <w:color w:val="auto"/>
          <w:sz w:val="24"/>
          <w:highlight w:val="none"/>
        </w:rPr>
        <w:t>录用在劳务承包中有偷窃学校食材或公共财物行为被发现和查处的员工员工参与甲方食堂服务。</w:t>
      </w:r>
    </w:p>
    <w:p w14:paraId="258788ED">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⑤</w:t>
      </w:r>
      <w:r>
        <w:rPr>
          <w:rFonts w:hint="eastAsia" w:ascii="宋体" w:hAnsi="宋体" w:eastAsia="宋体" w:cs="宋体"/>
          <w:color w:val="auto"/>
          <w:sz w:val="24"/>
          <w:highlight w:val="none"/>
        </w:rPr>
        <w:t>有传染病病史，根据病学要求不宜在人群集中地工作的。</w:t>
      </w:r>
    </w:p>
    <w:p w14:paraId="0069709C">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⑥</w:t>
      </w:r>
      <w:r>
        <w:rPr>
          <w:rFonts w:hint="eastAsia" w:ascii="宋体" w:hAnsi="宋体" w:eastAsia="宋体" w:cs="宋体"/>
          <w:color w:val="auto"/>
          <w:sz w:val="24"/>
          <w:highlight w:val="none"/>
        </w:rPr>
        <w:t>乙方单位及其</w:t>
      </w:r>
      <w:r>
        <w:rPr>
          <w:rFonts w:hint="eastAsia" w:ascii="宋体" w:hAnsi="宋体" w:eastAsia="宋体" w:cs="宋体"/>
          <w:color w:val="auto"/>
          <w:sz w:val="24"/>
          <w:highlight w:val="none"/>
          <w:lang w:val="en-US" w:eastAsia="zh-CN"/>
        </w:rPr>
        <w:t>员工</w:t>
      </w:r>
      <w:r>
        <w:rPr>
          <w:rFonts w:hint="eastAsia" w:ascii="宋体" w:hAnsi="宋体" w:eastAsia="宋体" w:cs="宋体"/>
          <w:color w:val="auto"/>
          <w:sz w:val="24"/>
          <w:highlight w:val="none"/>
        </w:rPr>
        <w:t>有过体罚学生，辱骂教师行为的。</w:t>
      </w:r>
    </w:p>
    <w:p w14:paraId="7C663991">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如有上列情形，甲方将视情况进行处罚，情节严重的将终止合同并追究责任。</w:t>
      </w:r>
    </w:p>
    <w:p w14:paraId="0C5240ED">
      <w:pPr>
        <w:widowControl/>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11、</w:t>
      </w:r>
      <w:r>
        <w:rPr>
          <w:rFonts w:hint="default" w:ascii="宋体" w:hAnsi="宋体" w:eastAsia="宋体" w:cs="宋体"/>
          <w:color w:val="auto"/>
          <w:sz w:val="24"/>
          <w:highlight w:val="none"/>
          <w:lang w:val="en-US" w:eastAsia="zh-CN"/>
        </w:rPr>
        <w:t>所有服务人员与甲方无任何劳动人事关系，所有用工事宜由乙方负责安排。服务人员在岗履行工作职责期间及上下班途中，发生自身伤害、伤亡等事故，均由乙方负责处理并承担全部经济和法律责任，甲方不承担任何责任；乙方违反国家相关法规，与聘用人员发生劳动纠纷，均由乙方负责调解与处理，由此给甲方造成损失的，乙方需予以赔偿。</w:t>
      </w:r>
    </w:p>
    <w:p w14:paraId="247556B5">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12、乙方须按劳动法要求招聘人员，并负责聘用人员的培训、健康证年审。有关费用（含税费）自行承担。</w:t>
      </w:r>
    </w:p>
    <w:p w14:paraId="535862E2">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r>
        <w:rPr>
          <w:rFonts w:hint="eastAsia" w:ascii="宋体" w:hAnsi="宋体" w:eastAsia="宋体" w:cs="宋体"/>
          <w:color w:val="auto"/>
          <w:sz w:val="24"/>
          <w:highlight w:val="none"/>
          <w:lang w:val="en-US" w:eastAsia="zh-CN"/>
        </w:rPr>
        <w:t>乙方须对每日食材食品供应记录存档</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协助</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对</w:t>
      </w:r>
      <w:r>
        <w:rPr>
          <w:rFonts w:hint="eastAsia" w:ascii="宋体" w:hAnsi="宋体" w:eastAsia="宋体" w:cs="宋体"/>
          <w:color w:val="auto"/>
          <w:sz w:val="24"/>
          <w:highlight w:val="none"/>
          <w:lang w:val="en-US" w:eastAsia="zh-CN"/>
        </w:rPr>
        <w:t>每日耗材进行</w:t>
      </w:r>
      <w:r>
        <w:rPr>
          <w:rFonts w:hint="eastAsia" w:ascii="宋体" w:hAnsi="宋体" w:eastAsia="宋体" w:cs="宋体"/>
          <w:color w:val="auto"/>
          <w:sz w:val="24"/>
          <w:highlight w:val="none"/>
        </w:rPr>
        <w:t>统计。</w:t>
      </w:r>
    </w:p>
    <w:p w14:paraId="4FA891A6">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14、乙方在服务期内须服从学校安排，食堂所有工作含学校承办的大型活动（如体育活动、军训、大赛、对外培训</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重要会议</w:t>
      </w:r>
      <w:r>
        <w:rPr>
          <w:rFonts w:hint="eastAsia" w:ascii="宋体" w:hAnsi="宋体" w:eastAsia="宋体" w:cs="宋体"/>
          <w:color w:val="auto"/>
          <w:sz w:val="24"/>
          <w:highlight w:val="none"/>
        </w:rPr>
        <w:t>、节假日服务等）均由乙方负责安排，</w:t>
      </w:r>
      <w:r>
        <w:rPr>
          <w:rFonts w:hint="default" w:ascii="宋体" w:hAnsi="宋体" w:eastAsia="宋体" w:cs="宋体"/>
          <w:color w:val="auto"/>
          <w:sz w:val="24"/>
          <w:highlight w:val="none"/>
          <w:lang w:val="en-US" w:eastAsia="zh-CN"/>
        </w:rPr>
        <w:t>因上述工作增加的劳务费用、食材加工费用等全部由乙方自行承担，学校不承担任何费用。</w:t>
      </w:r>
    </w:p>
    <w:p w14:paraId="77FF8E09">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15、乙方须认真执行食堂固定资产管理要求，建立固定资产清单，妥善保管、科学合理使用学校的餐具、炊具、工具等烹饪相关设施，</w:t>
      </w:r>
      <w:r>
        <w:rPr>
          <w:rFonts w:hint="eastAsia" w:ascii="宋体" w:hAnsi="宋体" w:eastAsia="宋体" w:cs="宋体"/>
          <w:color w:val="auto"/>
          <w:sz w:val="24"/>
          <w:highlight w:val="none"/>
          <w:lang w:val="en-US" w:eastAsia="zh-CN"/>
        </w:rPr>
        <w:t>人为</w:t>
      </w:r>
      <w:r>
        <w:rPr>
          <w:rFonts w:hint="eastAsia" w:ascii="宋体" w:hAnsi="宋体" w:eastAsia="宋体" w:cs="宋体"/>
          <w:color w:val="auto"/>
          <w:sz w:val="24"/>
          <w:highlight w:val="none"/>
        </w:rPr>
        <w:t>损坏或遗失按学校要求修复或购买到位并承担一切费用，保证完好且能正常使用，合同期满全部完好移交给学校。</w:t>
      </w:r>
    </w:p>
    <w:p w14:paraId="15916FD3">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16、乙方负责对承接的学校食堂设备设施进行维护保养并保证安全使用。</w:t>
      </w:r>
    </w:p>
    <w:p w14:paraId="151D25D4">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17、乙方聘用</w:t>
      </w:r>
      <w:r>
        <w:rPr>
          <w:rFonts w:hint="eastAsia" w:ascii="宋体" w:hAnsi="宋体" w:eastAsia="宋体" w:cs="宋体"/>
          <w:color w:val="auto"/>
          <w:sz w:val="24"/>
          <w:highlight w:val="none"/>
          <w:lang w:val="en-US" w:eastAsia="zh-CN"/>
        </w:rPr>
        <w:t>或解除</w:t>
      </w:r>
      <w:r>
        <w:rPr>
          <w:rFonts w:hint="eastAsia" w:ascii="宋体" w:hAnsi="宋体" w:eastAsia="宋体" w:cs="宋体"/>
          <w:color w:val="auto"/>
          <w:sz w:val="24"/>
          <w:highlight w:val="none"/>
        </w:rPr>
        <w:t>人员</w:t>
      </w:r>
      <w:r>
        <w:rPr>
          <w:rFonts w:hint="eastAsia" w:ascii="宋体" w:hAnsi="宋体" w:eastAsia="宋体" w:cs="宋体"/>
          <w:color w:val="auto"/>
          <w:sz w:val="24"/>
          <w:highlight w:val="none"/>
          <w:lang w:val="en-US" w:eastAsia="zh-CN"/>
        </w:rPr>
        <w:t>须</w:t>
      </w:r>
      <w:r>
        <w:rPr>
          <w:rFonts w:hint="eastAsia" w:ascii="宋体" w:hAnsi="宋体" w:eastAsia="宋体" w:cs="宋体"/>
          <w:color w:val="auto"/>
          <w:sz w:val="24"/>
          <w:highlight w:val="none"/>
        </w:rPr>
        <w:t>签订合同，并将复印件交学校留存。</w:t>
      </w:r>
    </w:p>
    <w:p w14:paraId="698A1253">
      <w:pPr>
        <w:widowControl/>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r>
        <w:rPr>
          <w:rFonts w:hint="default" w:ascii="宋体" w:hAnsi="宋体" w:eastAsia="宋体" w:cs="宋体"/>
          <w:color w:val="auto"/>
          <w:sz w:val="24"/>
          <w:highlight w:val="none"/>
          <w:lang w:val="en-US" w:eastAsia="zh-CN"/>
        </w:rPr>
        <w:t>乙方需严格遵守学校食堂管理条例，接受甲方的日常监督检查，对甲方提出的整改意见，需在规定期限内完成整改，逾期未整改或整改不合格的，甲方有权按条例规定进行处罚，情节严重的，终止合同。</w:t>
      </w:r>
    </w:p>
    <w:p w14:paraId="7D86D6EF">
      <w:pPr>
        <w:widowControl/>
        <w:spacing w:line="46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六、结算方式</w:t>
      </w:r>
      <w:r>
        <w:rPr>
          <w:rFonts w:ascii="宋体" w:hAnsi="宋体" w:eastAsia="宋体" w:cs="宋体"/>
          <w:b/>
          <w:bCs/>
          <w:color w:val="auto"/>
          <w:sz w:val="24"/>
          <w:highlight w:val="none"/>
        </w:rPr>
        <w:tab/>
      </w:r>
    </w:p>
    <w:p w14:paraId="124F7FEA">
      <w:pPr>
        <w:widowControl/>
        <w:spacing w:line="460" w:lineRule="exact"/>
        <w:ind w:firstLine="48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default" w:ascii="宋体" w:hAnsi="宋体" w:eastAsia="宋体" w:cs="宋体"/>
          <w:color w:val="auto"/>
          <w:kern w:val="0"/>
          <w:sz w:val="24"/>
          <w:szCs w:val="24"/>
          <w:highlight w:val="none"/>
          <w:lang w:val="en-US" w:eastAsia="zh-CN" w:bidi="ar"/>
        </w:rPr>
        <w:t>按中标总价计入结算，每月进行一次考核，考核合格后，按季度结算服务费用（每季度第一个月15日前结算上一季度合格的服务费用）。</w:t>
      </w:r>
    </w:p>
    <w:p w14:paraId="75E7B1A1">
      <w:pPr>
        <w:widowControl/>
        <w:spacing w:line="460" w:lineRule="exact"/>
        <w:ind w:firstLine="48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2、如因就餐人数变动较大（增减超过10%范围），导致采购需求有所变动，</w:t>
      </w:r>
      <w:r>
        <w:rPr>
          <w:rFonts w:hint="default" w:ascii="宋体" w:hAnsi="宋体" w:eastAsia="宋体" w:cs="宋体"/>
          <w:color w:val="auto"/>
          <w:kern w:val="0"/>
          <w:sz w:val="24"/>
          <w:szCs w:val="24"/>
          <w:highlight w:val="none"/>
          <w:lang w:val="en-US" w:eastAsia="zh-CN" w:bidi="ar"/>
        </w:rPr>
        <w:t>甲方有权与乙方协商调整服务费用；协商不成的，甲方有权终止合同，双方按实际服务期限结算费用，乙方不得提出额外索赔。</w:t>
      </w:r>
    </w:p>
    <w:p w14:paraId="7AF7B695">
      <w:pPr>
        <w:widowControl/>
        <w:spacing w:line="460" w:lineRule="exac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七、合同金额、付款方式</w:t>
      </w:r>
    </w:p>
    <w:p w14:paraId="5145DD0E">
      <w:pPr>
        <w:widowControl/>
        <w:spacing w:line="4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1、根据招标中标结果全年服务费合同价格为：</w:t>
      </w:r>
      <w:r>
        <w:rPr>
          <w:rFonts w:hint="eastAsia" w:ascii="宋体" w:hAnsi="宋体" w:eastAsia="宋体" w:cs="宋体"/>
          <w:color w:val="auto"/>
          <w:sz w:val="24"/>
          <w:highlight w:val="none"/>
          <w:u w:val="single"/>
        </w:rPr>
        <w:t>（大写）          元/年（含税）。</w:t>
      </w:r>
    </w:p>
    <w:p w14:paraId="5AFDE3AB">
      <w:pPr>
        <w:widowControl/>
        <w:spacing w:line="4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2、付款方式：</w:t>
      </w:r>
      <w:r>
        <w:rPr>
          <w:rFonts w:hint="eastAsia" w:ascii="宋体" w:hAnsi="宋体" w:eastAsia="宋体" w:cs="宋体"/>
          <w:color w:val="auto"/>
          <w:sz w:val="24"/>
          <w:highlight w:val="none"/>
          <w:u w:val="single"/>
        </w:rPr>
        <w:t>本项目预付款（合同价的30%），服务费用按</w:t>
      </w:r>
      <w:r>
        <w:rPr>
          <w:rFonts w:hint="eastAsia" w:ascii="宋体" w:hAnsi="宋体" w:eastAsia="宋体" w:cs="宋体"/>
          <w:color w:val="auto"/>
          <w:sz w:val="24"/>
          <w:highlight w:val="none"/>
          <w:u w:val="single"/>
          <w:lang w:val="en-US" w:eastAsia="zh-CN"/>
        </w:rPr>
        <w:t>月</w:t>
      </w:r>
      <w:r>
        <w:rPr>
          <w:rFonts w:hint="eastAsia" w:ascii="宋体" w:hAnsi="宋体" w:eastAsia="宋体" w:cs="宋体"/>
          <w:color w:val="auto"/>
          <w:sz w:val="24"/>
          <w:highlight w:val="none"/>
          <w:u w:val="single"/>
        </w:rPr>
        <w:t>度</w:t>
      </w:r>
      <w:r>
        <w:rPr>
          <w:rFonts w:hint="eastAsia" w:ascii="宋体" w:hAnsi="宋体" w:eastAsia="宋体" w:cs="宋体"/>
          <w:color w:val="auto"/>
          <w:sz w:val="24"/>
          <w:highlight w:val="none"/>
          <w:u w:val="single"/>
          <w:lang w:val="en-US" w:eastAsia="zh-CN"/>
        </w:rPr>
        <w:t>结算</w:t>
      </w:r>
      <w:r>
        <w:rPr>
          <w:rFonts w:hint="eastAsia" w:ascii="宋体" w:hAnsi="宋体" w:eastAsia="宋体" w:cs="宋体"/>
          <w:color w:val="auto"/>
          <w:sz w:val="24"/>
          <w:highlight w:val="none"/>
          <w:u w:val="single"/>
        </w:rPr>
        <w:t>，每月经考核合格后</w:t>
      </w:r>
      <w:r>
        <w:rPr>
          <w:rFonts w:hint="eastAsia" w:ascii="宋体" w:hAnsi="宋体" w:eastAsia="宋体" w:cs="宋体"/>
          <w:color w:val="auto"/>
          <w:sz w:val="24"/>
          <w:highlight w:val="none"/>
          <w:u w:val="single"/>
          <w:lang w:val="en-US" w:eastAsia="zh-CN"/>
        </w:rPr>
        <w:t>次月结算上月</w:t>
      </w:r>
      <w:r>
        <w:rPr>
          <w:rFonts w:hint="eastAsia" w:ascii="宋体" w:hAnsi="宋体" w:eastAsia="宋体" w:cs="宋体"/>
          <w:color w:val="auto"/>
          <w:sz w:val="24"/>
          <w:highlight w:val="none"/>
          <w:u w:val="single"/>
        </w:rPr>
        <w:t>的服务费用 。若考核不合格，甲方有权扣除相应比例的服务费用（扣除比例按考核办法执行），扣除后再行结算。</w:t>
      </w:r>
    </w:p>
    <w:p w14:paraId="1215CE0B">
      <w:pPr>
        <w:widowControl/>
        <w:spacing w:line="46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乙方需在每次结算前5个工作日内，向甲方提供合法有效的发票，否则甲方有权顺延付款，且不承担逾期付款责任。</w:t>
      </w:r>
    </w:p>
    <w:p w14:paraId="4036C15B">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本合同价包括（但不限于）人员薪资、保险、劳保福利、税金、管理费、利润、投标所需的各项费用、国家政策性文件调整所涉及的相关费用、不可预见费（应充分考虑所有风险、责任等）所有一切费用。</w:t>
      </w:r>
    </w:p>
    <w:p w14:paraId="20BE6B96">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本项目落实预付款制度，预付款比例为30%（待区财政资金到位后再拨付预付款）。在签订合同时，</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表示无需预付款或者主动要求降低预付款比例的，</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可就预付款比例作相应调整。</w:t>
      </w:r>
    </w:p>
    <w:p w14:paraId="677FE5BA">
      <w:pPr>
        <w:widowControl/>
        <w:spacing w:afterAutospacing="0" w:line="46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八、</w:t>
      </w:r>
      <w:r>
        <w:rPr>
          <w:rFonts w:hint="eastAsia" w:ascii="宋体" w:hAnsi="宋体" w:eastAsia="宋体" w:cs="宋体"/>
          <w:b/>
          <w:bCs/>
          <w:color w:val="auto"/>
          <w:sz w:val="24"/>
          <w:highlight w:val="none"/>
          <w:lang w:val="en-US" w:eastAsia="zh-CN"/>
        </w:rPr>
        <w:t>食品</w:t>
      </w:r>
      <w:r>
        <w:rPr>
          <w:rFonts w:hint="eastAsia" w:ascii="宋体" w:hAnsi="宋体" w:eastAsia="宋体" w:cs="宋体"/>
          <w:b/>
          <w:bCs/>
          <w:color w:val="auto"/>
          <w:sz w:val="24"/>
          <w:highlight w:val="none"/>
        </w:rPr>
        <w:t>安全保证金及履约保证金</w:t>
      </w:r>
    </w:p>
    <w:p w14:paraId="38648CBF">
      <w:pPr>
        <w:keepNext w:val="0"/>
        <w:keepLines w:val="0"/>
        <w:pageBreakBefore w:val="0"/>
        <w:widowControl/>
        <w:suppressLineNumbers w:val="0"/>
        <w:kinsoku/>
        <w:wordWrap/>
        <w:overflowPunct/>
        <w:topLinePunct w:val="0"/>
        <w:autoSpaceDE/>
        <w:autoSpaceDN/>
        <w:bidi w:val="0"/>
        <w:adjustRightInd/>
        <w:snapToGrid/>
        <w:spacing w:before="183" w:beforeLines="50" w:beforeAutospacing="0" w:line="360" w:lineRule="auto"/>
        <w:ind w:firstLine="480" w:firstLineChars="200"/>
        <w:jc w:val="left"/>
        <w:textAlignment w:val="auto"/>
        <w:rPr>
          <w:color w:val="auto"/>
          <w:highlight w:val="none"/>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rPr>
        <w:t>乙方签合同时须交纳</w:t>
      </w:r>
      <w:bookmarkStart w:id="181" w:name="OLE_LINK1"/>
      <w:r>
        <w:rPr>
          <w:rFonts w:hint="eastAsia" w:ascii="宋体" w:hAnsi="宋体" w:eastAsia="宋体" w:cs="宋体"/>
          <w:b/>
          <w:bCs/>
          <w:color w:val="auto"/>
          <w:sz w:val="24"/>
          <w:highlight w:val="none"/>
          <w:lang w:val="en-US" w:eastAsia="zh-CN"/>
        </w:rPr>
        <w:t>食品</w:t>
      </w:r>
      <w:r>
        <w:rPr>
          <w:rFonts w:hint="eastAsia" w:ascii="宋体" w:hAnsi="宋体" w:eastAsia="宋体" w:cs="宋体"/>
          <w:b/>
          <w:bCs/>
          <w:color w:val="auto"/>
          <w:sz w:val="24"/>
          <w:highlight w:val="none"/>
        </w:rPr>
        <w:t>安全保证金人民币</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eastAsia="zh-CN"/>
        </w:rPr>
        <w:t>贰拾万元整（¥200000.00）</w:t>
      </w:r>
      <w:r>
        <w:rPr>
          <w:rFonts w:hint="eastAsia" w:ascii="宋体" w:hAnsi="宋体" w:eastAsia="宋体" w:cs="宋体"/>
          <w:b/>
          <w:bCs/>
          <w:color w:val="auto"/>
          <w:sz w:val="24"/>
          <w:highlight w:val="none"/>
          <w:u w:val="single"/>
        </w:rPr>
        <w:t xml:space="preserve"> </w:t>
      </w:r>
      <w:bookmarkEnd w:id="181"/>
      <w:r>
        <w:rPr>
          <w:rFonts w:hint="eastAsia" w:ascii="宋体" w:hAnsi="宋体" w:eastAsia="宋体" w:cs="宋体"/>
          <w:b/>
          <w:bCs/>
          <w:color w:val="auto"/>
          <w:sz w:val="24"/>
          <w:highlight w:val="none"/>
          <w:u w:val="single"/>
          <w:lang w:eastAsia="zh-CN"/>
        </w:rPr>
        <w:t>，</w:t>
      </w:r>
      <w:r>
        <w:rPr>
          <w:rFonts w:hint="eastAsia" w:ascii="宋体" w:hAnsi="宋体" w:eastAsia="宋体" w:cs="宋体"/>
          <w:b/>
          <w:bCs/>
          <w:color w:val="auto"/>
          <w:sz w:val="24"/>
          <w:highlight w:val="none"/>
          <w:u w:val="single"/>
          <w:lang w:val="en-US" w:eastAsia="zh-CN"/>
        </w:rPr>
        <w:t>缴纳形式：现金或银行转账</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履约保证金人民币</w:t>
      </w:r>
      <w:r>
        <w:rPr>
          <w:rFonts w:hint="eastAsia" w:ascii="宋体" w:hAnsi="宋体" w:eastAsia="宋体" w:cs="宋体"/>
          <w:color w:val="auto"/>
          <w:sz w:val="24"/>
          <w:highlight w:val="none"/>
          <w:u w:val="single"/>
        </w:rPr>
        <w:t>合同金额的10%</w:t>
      </w: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u w:val="single"/>
          <w:lang w:val="en-US" w:eastAsia="zh-CN" w:bidi="ar"/>
        </w:rPr>
        <w:t xml:space="preserve">       </w:t>
      </w:r>
      <w:r>
        <w:rPr>
          <w:rFonts w:hint="default" w:ascii="宋体" w:hAnsi="宋体" w:eastAsia="宋体" w:cs="宋体"/>
          <w:color w:val="auto"/>
          <w:kern w:val="0"/>
          <w:sz w:val="24"/>
          <w:szCs w:val="24"/>
          <w:highlight w:val="none"/>
          <w:lang w:val="en-US" w:eastAsia="zh-CN" w:bidi="ar"/>
        </w:rPr>
        <w:t>元）</w:t>
      </w:r>
      <w:r>
        <w:rPr>
          <w:rFonts w:hint="eastAsia" w:ascii="宋体" w:hAnsi="宋体" w:eastAsia="宋体" w:cs="宋体"/>
          <w:color w:val="auto"/>
          <w:sz w:val="24"/>
          <w:highlight w:val="none"/>
        </w:rPr>
        <w:t>作为本合同的履约保证金。【备注：合同金额的10%，甲方应当对AA评级及以上政府采购供应商（需提供信用管理部门备案的第三方信用报告，且信用报告通过“信用盐城网”可查实）降低履约保证金缴纳比例（合同金额的5%）。</w:t>
      </w:r>
    </w:p>
    <w:p w14:paraId="0B719CE5">
      <w:pPr>
        <w:keepNext w:val="0"/>
        <w:keepLines w:val="0"/>
        <w:pageBreakBefore w:val="0"/>
        <w:widowControl/>
        <w:suppressLineNumbers w:val="0"/>
        <w:kinsoku/>
        <w:wordWrap/>
        <w:overflowPunct/>
        <w:topLinePunct w:val="0"/>
        <w:autoSpaceDE/>
        <w:autoSpaceDN/>
        <w:bidi w:val="0"/>
        <w:adjustRightInd/>
        <w:snapToGrid/>
        <w:spacing w:before="183" w:beforeLines="50" w:beforeAutospacing="0" w:line="360" w:lineRule="auto"/>
        <w:ind w:firstLine="480" w:firstLineChars="200"/>
        <w:jc w:val="left"/>
        <w:textAlignment w:val="auto"/>
        <w:rPr>
          <w:rFonts w:hint="eastAsia"/>
          <w:color w:val="auto"/>
          <w:highlight w:val="none"/>
        </w:rPr>
      </w:pPr>
      <w:r>
        <w:rPr>
          <w:rFonts w:hint="default" w:ascii="宋体" w:hAnsi="宋体" w:eastAsia="宋体" w:cs="宋体"/>
          <w:color w:val="auto"/>
          <w:kern w:val="0"/>
          <w:sz w:val="24"/>
          <w:szCs w:val="24"/>
          <w:highlight w:val="none"/>
          <w:lang w:val="en-US" w:eastAsia="zh-CN" w:bidi="ar"/>
        </w:rPr>
        <w:t>食品安全保证金用途：用于乙方违反食品安全规定、造成食品安全事故或师生人身伤害时的赔偿、整改费用，以及甲方因此产生的损失；履约保证金用途：用于乙方违反本合同约定（如转包、违约、服务不达标等）的处罚及赔偿。</w:t>
      </w:r>
    </w:p>
    <w:p w14:paraId="1036EC3D">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2、确需收取履约保证金的，履约保证金的缴纳形式：</w:t>
      </w:r>
    </w:p>
    <w:p w14:paraId="30BE8816">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乙方应当以支票、汇票、本票或者金融机构、担保机构出具的保函等非现金形式提交履约保证金。依据《关于在全省政府采购领域推行电子履约保函（保险）的通知》，鼓励乙方自愿使用电子履约保函（保险）代替缴纳履约保证金。</w:t>
      </w:r>
    </w:p>
    <w:p w14:paraId="4DB67C9F">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2.2 如以履约保函（保险）形式缴纳履约保证金，乙方可通过政府采购电子履约保函（保险）平台（www.jsdzbh.com）在线申请履约保函（保险）。</w:t>
      </w:r>
    </w:p>
    <w:p w14:paraId="73B63D4E">
      <w:pPr>
        <w:tabs>
          <w:tab w:val="left" w:pos="2472"/>
        </w:tabs>
        <w:spacing w:line="480" w:lineRule="exact"/>
        <w:ind w:firstLine="48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highlight w:val="none"/>
        </w:rPr>
        <w:t>3、</w:t>
      </w:r>
      <w:r>
        <w:rPr>
          <w:rFonts w:hint="default" w:ascii="宋体" w:hAnsi="宋体" w:eastAsia="宋体" w:cs="宋体"/>
          <w:color w:val="auto"/>
          <w:kern w:val="0"/>
          <w:sz w:val="24"/>
          <w:szCs w:val="24"/>
          <w:highlight w:val="none"/>
          <w:lang w:val="en-US" w:eastAsia="zh-CN" w:bidi="ar"/>
        </w:rPr>
        <w:t>合同履行结束后，甲方应在乙方完成全部服务、无任何违约及食品安全问题、办理完交接手续后15个工作日内，无息退还履约保证金及食品安全保证金（若有扣除，扣除相应金额后退还剩余部分）。</w:t>
      </w:r>
    </w:p>
    <w:p w14:paraId="606AA715">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4、履约保证金的退还：</w:t>
      </w:r>
    </w:p>
    <w:p w14:paraId="5C1D0055">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4.1方式：无息退还至乙方缴纳履约保证金的账户。如为保函，在到期时自行失效。</w:t>
      </w:r>
    </w:p>
    <w:p w14:paraId="0DDC986D">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4.2时间：</w:t>
      </w:r>
      <w:r>
        <w:rPr>
          <w:rFonts w:hint="eastAsia" w:ascii="宋体" w:hAnsi="宋体" w:eastAsia="宋体" w:cs="宋体"/>
          <w:color w:val="auto"/>
          <w:sz w:val="24"/>
          <w:highlight w:val="none"/>
          <w:lang w:val="en-US" w:eastAsia="zh-CN"/>
        </w:rPr>
        <w:t>乙方无任何违约情形的，</w:t>
      </w:r>
      <w:r>
        <w:rPr>
          <w:rFonts w:hint="eastAsia" w:ascii="宋体" w:hAnsi="宋体" w:eastAsia="宋体" w:cs="宋体"/>
          <w:color w:val="auto"/>
          <w:sz w:val="24"/>
          <w:highlight w:val="none"/>
        </w:rPr>
        <w:t>项目服务结束后一周内无息退还。</w:t>
      </w:r>
    </w:p>
    <w:p w14:paraId="3BC69C75">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4.3不予退还情形：</w:t>
      </w:r>
    </w:p>
    <w:p w14:paraId="379D978E">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除不可抗力情况外，乙方出现下列情形之一的，其履约保证金，甲方将视情节决定不予退还或部分不予退还。</w:t>
      </w:r>
    </w:p>
    <w:p w14:paraId="2822CF25">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（1）乙方无正当理由拒绝签订合同的，或者在签订合同时向甲方提出附加条件或者更改合同实质性内容要求的；</w:t>
      </w:r>
    </w:p>
    <w:p w14:paraId="55857CA1">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（2）乙方不履行与甲方订立的合同</w:t>
      </w:r>
      <w:r>
        <w:rPr>
          <w:rFonts w:hint="eastAsia" w:ascii="宋体" w:hAnsi="宋体" w:eastAsia="宋体" w:cs="宋体"/>
          <w:color w:val="auto"/>
          <w:sz w:val="24"/>
          <w:highlight w:val="none"/>
          <w:lang w:val="en-US" w:eastAsia="zh-CN"/>
        </w:rPr>
        <w:t>义务</w:t>
      </w:r>
      <w:r>
        <w:rPr>
          <w:rFonts w:hint="eastAsia" w:ascii="宋体" w:hAnsi="宋体" w:eastAsia="宋体" w:cs="宋体"/>
          <w:color w:val="auto"/>
          <w:sz w:val="24"/>
          <w:highlight w:val="none"/>
        </w:rPr>
        <w:t>的；</w:t>
      </w:r>
    </w:p>
    <w:p w14:paraId="57ED1DB0">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（3）乙方服务不符合招标文件规定要求的；</w:t>
      </w:r>
    </w:p>
    <w:p w14:paraId="37C28D56">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（4）乙方采取欺骗、弄虚作假方式投标的或与其它供应商串通投标的；</w:t>
      </w:r>
    </w:p>
    <w:p w14:paraId="774B271E">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（5）乙方将合同内容转包、违法分包的；</w:t>
      </w:r>
    </w:p>
    <w:p w14:paraId="4A75F1AC">
      <w:pPr>
        <w:tabs>
          <w:tab w:val="left" w:pos="2472"/>
        </w:tabs>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（6）乙方故意捏造事实或伪造证明材料，进行虚假恶意投诉或反映的。</w:t>
      </w:r>
    </w:p>
    <w:p w14:paraId="1D380EE1">
      <w:pPr>
        <w:tabs>
          <w:tab w:val="left" w:pos="2472"/>
        </w:tabs>
        <w:spacing w:line="48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r>
        <w:rPr>
          <w:rFonts w:hint="default" w:ascii="宋体" w:hAnsi="宋体" w:eastAsia="宋体" w:cs="宋体"/>
          <w:color w:val="auto"/>
          <w:sz w:val="24"/>
          <w:highlight w:val="none"/>
          <w:lang w:val="en-US" w:eastAsia="zh-CN"/>
        </w:rPr>
        <w:t>食品安全保证金不予退还情形：“乙方存在下列情形之一的，食品安全保证金不予退还，不足部分甲方有权向乙方追偿：1.发生食品安全事故，未按规定承担赔偿责任的；2.违反食品安全管理规定，被行政部门处罚的；3.提供不合格食材、餐食，情节严重的；4.未按要求进行食品留样、消毒，累计3次及以上的。</w:t>
      </w:r>
    </w:p>
    <w:p w14:paraId="2692472E">
      <w:pPr>
        <w:widowControl/>
        <w:spacing w:line="46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九、权利和义务：</w:t>
      </w:r>
    </w:p>
    <w:p w14:paraId="193DEAA3">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rPr>
        <w:t>、甲方明确人员对乙方进行管理、协调、考核，每月为一个考核期，如连续两个月考核不合格，或一年内累计三个月考核不合格，甲方有权终止合同，并将考核结果与经济处罚相挂钩。（考核办法拟采用食堂就餐人员满意度问卷调查形式，测评满意率低于</w:t>
      </w:r>
      <w:r>
        <w:rPr>
          <w:rFonts w:ascii="宋体" w:hAnsi="宋体" w:eastAsia="宋体" w:cs="宋体"/>
          <w:color w:val="auto"/>
          <w:sz w:val="24"/>
          <w:highlight w:val="none"/>
        </w:rPr>
        <w:t>8</w:t>
      </w:r>
      <w:r>
        <w:rPr>
          <w:rFonts w:hint="eastAsia" w:ascii="宋体" w:hAnsi="宋体" w:eastAsia="宋体" w:cs="宋体"/>
          <w:color w:val="auto"/>
          <w:sz w:val="24"/>
          <w:highlight w:val="none"/>
        </w:rPr>
        <w:t>0</w:t>
      </w:r>
      <w:r>
        <w:rPr>
          <w:rFonts w:ascii="宋体" w:hAnsi="宋体" w:eastAsia="宋体" w:cs="宋体"/>
          <w:color w:val="auto"/>
          <w:sz w:val="24"/>
          <w:highlight w:val="none"/>
        </w:rPr>
        <w:t>%</w:t>
      </w:r>
      <w:r>
        <w:rPr>
          <w:rFonts w:hint="eastAsia" w:ascii="宋体" w:hAnsi="宋体" w:eastAsia="宋体" w:cs="宋体"/>
          <w:color w:val="auto"/>
          <w:sz w:val="24"/>
          <w:highlight w:val="none"/>
          <w:lang w:val="en-US" w:eastAsia="zh-CN"/>
        </w:rPr>
        <w:t>即认为乙方未履行合同</w:t>
      </w:r>
      <w:r>
        <w:rPr>
          <w:rFonts w:hint="eastAsia" w:ascii="宋体" w:hAnsi="宋体" w:eastAsia="宋体" w:cs="宋体"/>
          <w:color w:val="auto"/>
          <w:sz w:val="24"/>
          <w:highlight w:val="none"/>
        </w:rPr>
        <w:t>扣除</w:t>
      </w:r>
      <w:r>
        <w:rPr>
          <w:rFonts w:hint="eastAsia" w:ascii="宋体" w:hAnsi="宋体" w:eastAsia="宋体" w:cs="宋体"/>
          <w:color w:val="auto"/>
          <w:sz w:val="24"/>
          <w:highlight w:val="none"/>
          <w:lang w:val="en-US" w:eastAsia="zh-CN"/>
        </w:rPr>
        <w:t>所有</w:t>
      </w:r>
      <w:r>
        <w:rPr>
          <w:rFonts w:hint="eastAsia" w:ascii="宋体" w:hAnsi="宋体" w:eastAsia="宋体" w:cs="宋体"/>
          <w:color w:val="auto"/>
          <w:sz w:val="24"/>
          <w:highlight w:val="none"/>
        </w:rPr>
        <w:t>履约保证金，连续</w:t>
      </w:r>
      <w:r>
        <w:rPr>
          <w:rFonts w:ascii="宋体" w:hAnsi="宋体" w:eastAsia="宋体" w:cs="宋体"/>
          <w:color w:val="auto"/>
          <w:sz w:val="24"/>
          <w:highlight w:val="none"/>
        </w:rPr>
        <w:t>2</w:t>
      </w:r>
      <w:r>
        <w:rPr>
          <w:rFonts w:hint="eastAsia" w:ascii="宋体" w:hAnsi="宋体" w:eastAsia="宋体" w:cs="宋体"/>
          <w:color w:val="auto"/>
          <w:sz w:val="24"/>
          <w:highlight w:val="none"/>
        </w:rPr>
        <w:t>次或累计</w:t>
      </w:r>
      <w:r>
        <w:rPr>
          <w:rFonts w:ascii="宋体" w:hAnsi="宋体" w:eastAsia="宋体" w:cs="宋体"/>
          <w:color w:val="auto"/>
          <w:sz w:val="24"/>
          <w:highlight w:val="none"/>
        </w:rPr>
        <w:t>3</w:t>
      </w:r>
      <w:r>
        <w:rPr>
          <w:rFonts w:hint="eastAsia" w:ascii="宋体" w:hAnsi="宋体" w:eastAsia="宋体" w:cs="宋体"/>
          <w:color w:val="auto"/>
          <w:sz w:val="24"/>
          <w:highlight w:val="none"/>
        </w:rPr>
        <w:t>次低于</w:t>
      </w:r>
      <w:r>
        <w:rPr>
          <w:rFonts w:ascii="宋体" w:hAnsi="宋体" w:eastAsia="宋体" w:cs="宋体"/>
          <w:color w:val="auto"/>
          <w:sz w:val="24"/>
          <w:highlight w:val="none"/>
        </w:rPr>
        <w:t>8</w:t>
      </w:r>
      <w:r>
        <w:rPr>
          <w:rFonts w:hint="eastAsia" w:ascii="宋体" w:hAnsi="宋体" w:eastAsia="宋体" w:cs="宋体"/>
          <w:color w:val="auto"/>
          <w:sz w:val="24"/>
          <w:highlight w:val="none"/>
        </w:rPr>
        <w:t>0</w:t>
      </w:r>
      <w:r>
        <w:rPr>
          <w:rFonts w:ascii="宋体" w:hAnsi="宋体" w:eastAsia="宋体" w:cs="宋体"/>
          <w:color w:val="auto"/>
          <w:sz w:val="24"/>
          <w:highlight w:val="none"/>
        </w:rPr>
        <w:t>%</w:t>
      </w:r>
      <w:r>
        <w:rPr>
          <w:rFonts w:hint="eastAsia" w:ascii="宋体" w:hAnsi="宋体" w:eastAsia="宋体" w:cs="宋体"/>
          <w:color w:val="auto"/>
          <w:sz w:val="24"/>
          <w:highlight w:val="none"/>
        </w:rPr>
        <w:t>终止合同），具体考核办法在签订本合同前甲乙双方认可后出具考核办法，依据《盐城市大丰区新丰中学食堂管理条例》制定。</w:t>
      </w:r>
    </w:p>
    <w:p w14:paraId="015AB9B6">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rPr>
        <w:t>、乙方负责所有承包场所的安全、卫生管理使用人员的劳动关系，并承担经营服务范围内的经济、民事和行政处罚责任。</w:t>
      </w:r>
    </w:p>
    <w:p w14:paraId="3D6EC1BE">
      <w:pPr>
        <w:widowControl/>
        <w:spacing w:line="46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3、乙方保证所有管理和工作人员均需与乙方有合法的劳动关系，持有健康证等证件，满足餐饮业从业人员所需的必备条件方可上岗。</w:t>
      </w:r>
    </w:p>
    <w:p w14:paraId="1682EC46">
      <w:pPr>
        <w:widowControl/>
        <w:spacing w:line="46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乙方的经营管理必须满足工商、税务、环保、公安、消防、卫生和防疫等部门的所有规定，如受到相关上级部门的处罚，则与乙方的考核挂勾，情节严重的，影响恶劣的，造成一定的社会影响的，甲方有权进行相关处罚或终止合同。    </w:t>
      </w:r>
    </w:p>
    <w:p w14:paraId="3721713E">
      <w:pPr>
        <w:widowControl/>
        <w:spacing w:line="46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餐厅室内外装修装饰，均由甲方实施到位，乙方在使用过程中需负责维护，不得损坏，如因前期设计施工方面的缺陷造成的损坏，由甲方负责完善、维修。甲方投入的所有物资、设备、易耗品进行分类登记，一次性移交。</w:t>
      </w:r>
      <w:r>
        <w:rPr>
          <w:rFonts w:hint="default" w:ascii="宋体" w:hAnsi="宋体" w:eastAsia="宋体" w:cs="宋体"/>
          <w:color w:val="auto"/>
          <w:sz w:val="24"/>
          <w:highlight w:val="none"/>
          <w:lang w:val="en-US" w:eastAsia="zh-CN"/>
        </w:rPr>
        <w:t>承包期满后，乙方如未能获得续包，其自行投入的装饰装修及设备，除可拆除、不损坏甲方原有设施的大型设备和可动产外，均无偿移交甲方，不计残值；可拆除设备由乙方在合同期满后7个工作日内拆除并清理完毕，逾期未拆除的，视为无偿移交甲方。</w:t>
      </w:r>
    </w:p>
    <w:p w14:paraId="02F04C19">
      <w:pPr>
        <w:widowControl/>
        <w:spacing w:line="46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6、乙方必须按公司化运作，必须遵守国家的法律法规并负责本公司人员的管理，</w:t>
      </w:r>
      <w:r>
        <w:rPr>
          <w:rFonts w:hint="default" w:ascii="宋体" w:hAnsi="宋体" w:eastAsia="宋体" w:cs="宋体"/>
          <w:color w:val="auto"/>
          <w:sz w:val="24"/>
          <w:highlight w:val="none"/>
          <w:lang w:val="en-US" w:eastAsia="zh-CN"/>
        </w:rPr>
        <w:t>乙方所有员工需在签订合同后10个工作日内，向甲方提供公安机关出具的无违法犯罪记录证明，未按要求提供的，甲方有权要求乙方更换相关人员，逾期未更换的，视为违约，扣除履约保证金的10%。</w:t>
      </w:r>
    </w:p>
    <w:p w14:paraId="3A6BC7DB">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7、乙方每学期开展</w:t>
      </w:r>
      <w:r>
        <w:rPr>
          <w:rFonts w:hint="default" w:ascii="宋体" w:hAnsi="宋体" w:eastAsia="宋体" w:cs="宋体"/>
          <w:color w:val="auto"/>
          <w:sz w:val="24"/>
          <w:highlight w:val="none"/>
          <w:lang w:val="en-US" w:eastAsia="zh-CN"/>
        </w:rPr>
        <w:t>员工</w:t>
      </w:r>
      <w:r>
        <w:rPr>
          <w:rFonts w:hint="eastAsia" w:ascii="宋体" w:hAnsi="宋体" w:eastAsia="宋体" w:cs="宋体"/>
          <w:color w:val="auto"/>
          <w:sz w:val="24"/>
          <w:highlight w:val="none"/>
          <w:lang w:val="en-US" w:eastAsia="zh-CN"/>
        </w:rPr>
        <w:t>行</w:t>
      </w:r>
      <w:r>
        <w:rPr>
          <w:rFonts w:hint="eastAsia" w:ascii="宋体" w:hAnsi="宋体" w:eastAsia="宋体" w:cs="宋体"/>
          <w:color w:val="auto"/>
          <w:sz w:val="24"/>
          <w:highlight w:val="none"/>
        </w:rPr>
        <w:t>业规范培训及食品安全集中培训不少于2次，对所聘</w:t>
      </w:r>
      <w:r>
        <w:rPr>
          <w:rFonts w:hint="eastAsia" w:ascii="宋体" w:hAnsi="宋体" w:eastAsia="宋体" w:cs="宋体"/>
          <w:color w:val="auto"/>
          <w:sz w:val="24"/>
          <w:highlight w:val="none"/>
          <w:lang w:val="en-US" w:eastAsia="zh-CN"/>
        </w:rPr>
        <w:t>人员建立</w:t>
      </w:r>
      <w:r>
        <w:rPr>
          <w:rFonts w:hint="eastAsia" w:ascii="宋体" w:hAnsi="宋体" w:eastAsia="宋体" w:cs="宋体"/>
          <w:color w:val="auto"/>
          <w:sz w:val="24"/>
          <w:highlight w:val="none"/>
        </w:rPr>
        <w:t>员工定期考核机制。协助学校做好</w:t>
      </w:r>
      <w:r>
        <w:rPr>
          <w:rFonts w:hint="eastAsia" w:ascii="宋体" w:hAnsi="宋体" w:eastAsia="宋体" w:cs="宋体"/>
          <w:color w:val="auto"/>
          <w:sz w:val="24"/>
          <w:highlight w:val="none"/>
          <w:lang w:val="en-US" w:eastAsia="zh-CN"/>
        </w:rPr>
        <w:t>员工</w:t>
      </w:r>
      <w:r>
        <w:rPr>
          <w:rFonts w:hint="eastAsia" w:ascii="宋体" w:hAnsi="宋体" w:eastAsia="宋体" w:cs="宋体"/>
          <w:color w:val="auto"/>
          <w:sz w:val="24"/>
          <w:highlight w:val="none"/>
        </w:rPr>
        <w:t>社会关系排查。</w:t>
      </w:r>
    </w:p>
    <w:p w14:paraId="6A4F617C">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8、乙方除应做好</w:t>
      </w:r>
      <w:r>
        <w:rPr>
          <w:rFonts w:hint="eastAsia" w:ascii="宋体" w:hAnsi="宋体" w:eastAsia="宋体" w:cs="宋体"/>
          <w:color w:val="auto"/>
          <w:sz w:val="24"/>
          <w:highlight w:val="none"/>
          <w:lang w:val="en-US" w:eastAsia="zh-CN"/>
        </w:rPr>
        <w:t>员工</w:t>
      </w:r>
      <w:r>
        <w:rPr>
          <w:rFonts w:hint="eastAsia" w:ascii="宋体" w:hAnsi="宋体" w:eastAsia="宋体" w:cs="宋体"/>
          <w:color w:val="auto"/>
          <w:sz w:val="24"/>
          <w:highlight w:val="none"/>
        </w:rPr>
        <w:t>的安全教育外，还应为其提供必要的劳动保护条件，一切安全责任事故均由乙方负责。</w:t>
      </w:r>
    </w:p>
    <w:p w14:paraId="2F901F18">
      <w:pPr>
        <w:widowControl/>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9、乙方员工的餐费费用由乙方承担，甲方不承担该费用。</w:t>
      </w:r>
    </w:p>
    <w:p w14:paraId="1F27D2EE">
      <w:pPr>
        <w:widowControl/>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r>
        <w:rPr>
          <w:rFonts w:hint="default" w:ascii="宋体" w:hAnsi="宋体" w:eastAsia="宋体" w:cs="宋体"/>
          <w:color w:val="auto"/>
          <w:sz w:val="24"/>
          <w:highlight w:val="none"/>
          <w:lang w:val="en-US" w:eastAsia="zh-CN"/>
        </w:rPr>
        <w:t>甲方有权对乙方的食堂运营、食品安全、人员到岗、卫生状况等进行日常监督检查，每周至少检查1次，每月进行1次全面考核，乙方需积极配合甲方的检查工作，如实提供相关台账、记录，不得拒绝、阻挠；若乙方拒绝配合检查，每次</w:t>
      </w:r>
      <w:r>
        <w:rPr>
          <w:rFonts w:hint="eastAsia" w:ascii="宋体" w:hAnsi="宋体" w:eastAsia="宋体" w:cs="宋体"/>
          <w:color w:val="auto"/>
          <w:sz w:val="24"/>
          <w:highlight w:val="none"/>
          <w:lang w:val="en-US" w:eastAsia="zh-CN"/>
        </w:rPr>
        <w:t>承担违约金</w:t>
      </w:r>
      <w:r>
        <w:rPr>
          <w:rFonts w:hint="default" w:ascii="宋体" w:hAnsi="宋体" w:eastAsia="宋体" w:cs="宋体"/>
          <w:color w:val="auto"/>
          <w:sz w:val="24"/>
          <w:highlight w:val="none"/>
          <w:lang w:val="en-US" w:eastAsia="zh-CN"/>
        </w:rPr>
        <w:t>1000元，累计3次及以上，甲方有权终止合同。</w:t>
      </w:r>
    </w:p>
    <w:p w14:paraId="25069CB3">
      <w:pPr>
        <w:widowControl/>
        <w:spacing w:line="46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十、违约责任：</w:t>
      </w:r>
    </w:p>
    <w:p w14:paraId="5816D3FC">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如因甲方原因，造成乙方未完成规定管理目标或直接造成乙方经济损失的，甲方应给予乙方相应补偿。</w:t>
      </w:r>
    </w:p>
    <w:p w14:paraId="461A720E">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如因乙方原因，造成不能完成管理目标或直接造成甲方经济损失的，乙方应给予甲方相应补偿。甲方有权要求乙方限期整改，</w:t>
      </w:r>
      <w:r>
        <w:rPr>
          <w:rFonts w:hint="default" w:ascii="宋体" w:hAnsi="宋体" w:eastAsia="宋体" w:cs="宋体"/>
          <w:color w:val="auto"/>
          <w:sz w:val="24"/>
          <w:highlight w:val="none"/>
          <w:lang w:val="en-US" w:eastAsia="zh-CN"/>
        </w:rPr>
        <w:t>逾期未整改或整改不合格的，甲方有权终止合同，并没收履约保证金。</w:t>
      </w:r>
    </w:p>
    <w:p w14:paraId="3532013C">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因甲方房屋建筑或设施设备质量或安装技术等原因，造成重大事故的，由甲方承担责任并负责善后处理。因乙方管理不善或操作不当等原因造成重大事故的 ，由乙方承担责任并负责善后处理。(产生事故的直接原因，以政府有关部门的鉴定结论为准)。</w:t>
      </w:r>
    </w:p>
    <w:p w14:paraId="605CC60B">
      <w:pPr>
        <w:widowControl/>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4、乙方若有无故拖欠员工劳务工资及保险福利等行为，发生第一次将处以拖欠金额的50%处罚并从履约保证金中扣除；发生</w:t>
      </w:r>
      <w:r>
        <w:rPr>
          <w:rFonts w:hint="eastAsia" w:ascii="宋体" w:hAnsi="宋体" w:eastAsia="宋体" w:cs="宋体"/>
          <w:color w:val="auto"/>
          <w:sz w:val="24"/>
          <w:highlight w:val="none"/>
          <w:lang w:eastAsia="zh-CN"/>
        </w:rPr>
        <w:t>第二次</w:t>
      </w:r>
      <w:r>
        <w:rPr>
          <w:rFonts w:hint="default" w:ascii="宋体" w:hAnsi="宋体" w:eastAsia="宋体" w:cs="宋体"/>
          <w:color w:val="auto"/>
          <w:sz w:val="24"/>
          <w:highlight w:val="none"/>
          <w:lang w:val="en-US" w:eastAsia="zh-CN"/>
        </w:rPr>
        <w:t>甲方</w:t>
      </w:r>
      <w:r>
        <w:rPr>
          <w:rFonts w:hint="eastAsia" w:ascii="宋体" w:hAnsi="宋体" w:eastAsia="宋体" w:cs="宋体"/>
          <w:color w:val="auto"/>
          <w:sz w:val="24"/>
          <w:highlight w:val="none"/>
          <w:lang w:val="en-US" w:eastAsia="zh-CN"/>
        </w:rPr>
        <w:t>有权单方</w:t>
      </w:r>
      <w:r>
        <w:rPr>
          <w:rFonts w:hint="default" w:ascii="宋体" w:hAnsi="宋体" w:eastAsia="宋体" w:cs="宋体"/>
          <w:color w:val="auto"/>
          <w:sz w:val="24"/>
          <w:highlight w:val="none"/>
          <w:lang w:val="en-US" w:eastAsia="zh-CN"/>
        </w:rPr>
        <w:t>解除合同，没收履约保证金及食品安全保证金，并追究乙方的法律责任，由此给甲方造成的损失，乙方需予以赔偿。</w:t>
      </w:r>
    </w:p>
    <w:p w14:paraId="03699346">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default" w:ascii="宋体" w:hAnsi="宋体" w:eastAsia="宋体" w:cs="宋体"/>
          <w:color w:val="auto"/>
          <w:sz w:val="24"/>
          <w:highlight w:val="none"/>
          <w:lang w:val="en-US" w:eastAsia="zh-CN"/>
        </w:rPr>
        <w:t>乙方违反本合同约定，将合同标的转包、分包或委托他人经营的，甲方有权立即终止合同，没收履约保证金及食品安全保证金，并要求乙方赔偿由此给甲方造成的一切损失。</w:t>
      </w:r>
    </w:p>
    <w:p w14:paraId="51D71D79">
      <w:pPr>
        <w:widowControl/>
        <w:spacing w:line="460" w:lineRule="exact"/>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r>
        <w:rPr>
          <w:rFonts w:hint="default" w:ascii="宋体" w:hAnsi="宋体" w:eastAsia="宋体" w:cs="宋体"/>
          <w:color w:val="auto"/>
          <w:sz w:val="24"/>
          <w:highlight w:val="none"/>
          <w:lang w:val="en-US" w:eastAsia="zh-CN"/>
        </w:rPr>
        <w:t>乙方未按本合同约定配备足额工作人员、未按要求为员工缴纳社保的，甲方有权要求乙方限期整改，逾期未整改的，</w:t>
      </w:r>
      <w:r>
        <w:rPr>
          <w:rFonts w:hint="eastAsia" w:ascii="宋体" w:hAnsi="宋体" w:eastAsia="宋体" w:cs="宋体"/>
          <w:color w:val="auto"/>
          <w:sz w:val="24"/>
          <w:highlight w:val="none"/>
          <w:lang w:val="en-US" w:eastAsia="zh-CN"/>
        </w:rPr>
        <w:t>乙方需承担</w:t>
      </w:r>
      <w:r>
        <w:rPr>
          <w:rFonts w:hint="default" w:ascii="宋体" w:hAnsi="宋体" w:eastAsia="宋体" w:cs="宋体"/>
          <w:color w:val="auto"/>
          <w:sz w:val="24"/>
          <w:highlight w:val="none"/>
          <w:lang w:val="en-US" w:eastAsia="zh-CN"/>
        </w:rPr>
        <w:t>每人次500元</w:t>
      </w:r>
      <w:r>
        <w:rPr>
          <w:rFonts w:hint="eastAsia" w:ascii="宋体" w:hAnsi="宋体" w:eastAsia="宋体" w:cs="宋体"/>
          <w:color w:val="auto"/>
          <w:sz w:val="24"/>
          <w:highlight w:val="none"/>
          <w:lang w:val="en-US" w:eastAsia="zh-CN"/>
        </w:rPr>
        <w:t>违约金</w:t>
      </w:r>
      <w:r>
        <w:rPr>
          <w:rFonts w:hint="default" w:ascii="宋体" w:hAnsi="宋体" w:eastAsia="宋体" w:cs="宋体"/>
          <w:color w:val="auto"/>
          <w:sz w:val="24"/>
          <w:highlight w:val="none"/>
          <w:lang w:val="en-US" w:eastAsia="zh-CN"/>
        </w:rPr>
        <w:t>，</w:t>
      </w:r>
      <w:r>
        <w:rPr>
          <w:rFonts w:hint="eastAsia" w:ascii="宋体" w:hAnsi="宋体" w:eastAsia="宋体" w:cs="宋体"/>
          <w:color w:val="auto"/>
          <w:sz w:val="24"/>
          <w:highlight w:val="none"/>
          <w:lang w:val="en-US" w:eastAsia="zh-CN"/>
        </w:rPr>
        <w:t>违约金</w:t>
      </w:r>
      <w:r>
        <w:rPr>
          <w:rFonts w:hint="default" w:ascii="宋体" w:hAnsi="宋体" w:eastAsia="宋体" w:cs="宋体"/>
          <w:color w:val="auto"/>
          <w:sz w:val="24"/>
          <w:highlight w:val="none"/>
          <w:lang w:val="en-US" w:eastAsia="zh-CN"/>
        </w:rPr>
        <w:t>累计超过5000元的，甲方有权终止合同，没收履约保证金。</w:t>
      </w:r>
    </w:p>
    <w:p w14:paraId="73608E92">
      <w:pPr>
        <w:widowControl/>
        <w:spacing w:line="46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十一、不可抗力事件处理</w:t>
      </w:r>
    </w:p>
    <w:p w14:paraId="721F44B8">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rPr>
        <w:t>、在合同有效期内，任何一方因不可抗力事件导致不能履行合同，则合同履行期可延长，其延长期与不可抗力影响期相同。</w:t>
      </w:r>
    </w:p>
    <w:p w14:paraId="4B1E0AAD">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2</w:t>
      </w:r>
      <w:r>
        <w:rPr>
          <w:rFonts w:hint="eastAsia" w:ascii="宋体" w:hAnsi="宋体" w:eastAsia="宋体" w:cs="宋体"/>
          <w:color w:val="auto"/>
          <w:sz w:val="24"/>
          <w:highlight w:val="none"/>
        </w:rPr>
        <w:t>、不可抗力事件发生后，应立即通知对方，并寄送有关权威机构出具的证明。</w:t>
      </w:r>
    </w:p>
    <w:p w14:paraId="04DE5284">
      <w:pPr>
        <w:widowControl/>
        <w:spacing w:line="460" w:lineRule="exact"/>
        <w:ind w:firstLine="480"/>
        <w:rPr>
          <w:rFonts w:hint="eastAsia" w:ascii="宋体" w:hAnsi="宋体" w:eastAsia="宋体" w:cs="宋体"/>
          <w:color w:val="auto"/>
          <w:sz w:val="24"/>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rPr>
        <w:t>、不可抗力事件延续</w:t>
      </w:r>
      <w:r>
        <w:rPr>
          <w:rFonts w:ascii="宋体" w:hAnsi="宋体" w:eastAsia="宋体" w:cs="宋体"/>
          <w:color w:val="auto"/>
          <w:sz w:val="24"/>
          <w:highlight w:val="none"/>
        </w:rPr>
        <w:t>120</w:t>
      </w:r>
      <w:r>
        <w:rPr>
          <w:rFonts w:hint="eastAsia" w:ascii="宋体" w:hAnsi="宋体" w:eastAsia="宋体" w:cs="宋体"/>
          <w:color w:val="auto"/>
          <w:sz w:val="24"/>
          <w:highlight w:val="none"/>
        </w:rPr>
        <w:t>天以上，双方应通过友好协商，确定是否继续履行合同。</w:t>
      </w:r>
    </w:p>
    <w:p w14:paraId="17E444FB">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十二、诉讼</w:t>
      </w:r>
    </w:p>
    <w:p w14:paraId="4BC71BB2">
      <w:pPr>
        <w:pStyle w:val="14"/>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双方在执行合同中所发生的一切争议，应通过协商解决。如协商不成，可向</w:t>
      </w:r>
      <w:r>
        <w:rPr>
          <w:rFonts w:hint="eastAsia" w:ascii="宋体" w:hAnsi="宋体" w:eastAsia="宋体" w:cs="宋体"/>
          <w:color w:val="auto"/>
          <w:sz w:val="24"/>
          <w:szCs w:val="24"/>
          <w:highlight w:val="none"/>
          <w:lang w:val="en-US" w:eastAsia="zh-CN"/>
        </w:rPr>
        <w:t>盐城市大丰区人民法院</w:t>
      </w:r>
      <w:r>
        <w:rPr>
          <w:rFonts w:hint="eastAsia" w:ascii="宋体" w:hAnsi="宋体" w:eastAsia="宋体" w:cs="宋体"/>
          <w:color w:val="auto"/>
          <w:sz w:val="24"/>
          <w:szCs w:val="24"/>
          <w:highlight w:val="none"/>
        </w:rPr>
        <w:t>起诉。</w:t>
      </w:r>
    </w:p>
    <w:p w14:paraId="5D718AB3">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十三、合同生效及其它</w:t>
      </w:r>
    </w:p>
    <w:p w14:paraId="6110ECD3">
      <w:pPr>
        <w:widowControl/>
        <w:spacing w:line="46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default" w:ascii="宋体" w:hAnsi="宋体" w:eastAsia="宋体" w:cs="宋体"/>
          <w:color w:val="auto"/>
          <w:sz w:val="24"/>
          <w:highlight w:val="none"/>
          <w:lang w:val="en-US" w:eastAsia="zh-CN"/>
        </w:rPr>
        <w:t>合同解除或终止后，乙方需在7个工作日内完成食堂交接工作，包括但不限于：清理食堂卫生、移交甲方提供的设备设施（确保完好可正常使用）、移交相关台账（食材验收记录、消毒记录、留样记录等）、撤离所有工作人员及自有设备；若乙方未按要求完成交接，每逾期一天</w:t>
      </w:r>
      <w:r>
        <w:rPr>
          <w:rFonts w:hint="eastAsia" w:ascii="宋体" w:hAnsi="宋体" w:eastAsia="宋体" w:cs="宋体"/>
          <w:color w:val="auto"/>
          <w:sz w:val="24"/>
          <w:highlight w:val="none"/>
          <w:lang w:val="en-US" w:eastAsia="zh-CN"/>
        </w:rPr>
        <w:t>需承担违约金</w:t>
      </w:r>
      <w:r>
        <w:rPr>
          <w:rFonts w:hint="default" w:ascii="宋体" w:hAnsi="宋体" w:eastAsia="宋体" w:cs="宋体"/>
          <w:color w:val="auto"/>
          <w:sz w:val="24"/>
          <w:highlight w:val="none"/>
          <w:lang w:val="en-US" w:eastAsia="zh-CN"/>
        </w:rPr>
        <w:t>1000元，由此给甲方造成的损失，乙方需予以赔偿。</w:t>
      </w:r>
    </w:p>
    <w:p w14:paraId="0CD25ED3">
      <w:pPr>
        <w:widowControl/>
        <w:spacing w:line="46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2、合同经双方法定代表人或授权委托代表人签字并加盖单位公章后生效。</w:t>
      </w:r>
    </w:p>
    <w:p w14:paraId="2DEDA62A">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3、招标文件和乙方的投标文件中被招标方认可的部分为本合同的</w:t>
      </w:r>
      <w:r>
        <w:rPr>
          <w:rFonts w:hint="eastAsia" w:ascii="宋体" w:hAnsi="宋体" w:eastAsia="宋体" w:cs="宋体"/>
          <w:color w:val="auto"/>
          <w:sz w:val="24"/>
          <w:highlight w:val="none"/>
        </w:rPr>
        <w:t>不可分割的组成部分，与本合同具有同样效力。</w:t>
      </w:r>
    </w:p>
    <w:p w14:paraId="550C44A9">
      <w:pPr>
        <w:widowControl/>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、本合同未尽事宜，遵照《民法典》有关条文执行。</w:t>
      </w:r>
    </w:p>
    <w:p w14:paraId="7DB711E9">
      <w:pPr>
        <w:widowControl/>
        <w:spacing w:line="460" w:lineRule="exact"/>
        <w:ind w:firstLine="480"/>
        <w:rPr>
          <w:rFonts w:ascii="宋体" w:hAnsi="宋体" w:eastAsia="Arial" w:cs="Arial"/>
          <w:color w:val="auto"/>
          <w:sz w:val="24"/>
          <w:highlight w:val="none"/>
        </w:rPr>
      </w:pPr>
      <w:r>
        <w:rPr>
          <w:rFonts w:hint="eastAsia" w:ascii="宋体" w:hAnsi="宋体" w:eastAsia="宋体" w:cs="Arial"/>
          <w:color w:val="auto"/>
          <w:sz w:val="24"/>
          <w:highlight w:val="none"/>
          <w:lang w:val="en-US" w:eastAsia="zh-CN"/>
        </w:rPr>
        <w:t>5</w:t>
      </w:r>
      <w:r>
        <w:rPr>
          <w:rFonts w:hint="eastAsia" w:ascii="宋体" w:hAnsi="宋体" w:eastAsia="宋体" w:cs="宋体"/>
          <w:color w:val="auto"/>
          <w:sz w:val="24"/>
          <w:highlight w:val="none"/>
        </w:rPr>
        <w:t>、本合同一式肆份，具有同等法律效力，甲方、乙方各执贰份。</w:t>
      </w:r>
    </w:p>
    <w:p w14:paraId="0C58D393">
      <w:pPr>
        <w:pStyle w:val="238"/>
        <w:spacing w:line="360" w:lineRule="auto"/>
        <w:ind w:firstLine="480"/>
        <w:rPr>
          <w:rFonts w:hint="eastAsia" w:hAnsi="宋体" w:eastAsia="宋体" w:cs="宋体"/>
          <w:color w:val="auto"/>
          <w:sz w:val="24"/>
          <w:szCs w:val="24"/>
          <w:highlight w:val="none"/>
        </w:rPr>
      </w:pPr>
    </w:p>
    <w:p w14:paraId="202226AE">
      <w:pPr>
        <w:pStyle w:val="238"/>
        <w:spacing w:line="360" w:lineRule="auto"/>
        <w:ind w:firstLine="480"/>
        <w:rPr>
          <w:rFonts w:hint="eastAsia" w:hAnsi="宋体" w:eastAsia="宋体" w:cs="宋体"/>
          <w:color w:val="auto"/>
          <w:sz w:val="24"/>
          <w:szCs w:val="24"/>
          <w:highlight w:val="none"/>
        </w:rPr>
      </w:pPr>
    </w:p>
    <w:p w14:paraId="5480EDE8">
      <w:pPr>
        <w:pStyle w:val="238"/>
        <w:spacing w:line="360" w:lineRule="auto"/>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甲方（公章）：                           乙方（公章）：</w:t>
      </w:r>
    </w:p>
    <w:p w14:paraId="27F058A4">
      <w:pPr>
        <w:pStyle w:val="238"/>
        <w:spacing w:line="360" w:lineRule="auto"/>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        </w:t>
      </w:r>
    </w:p>
    <w:p w14:paraId="25BF369F">
      <w:pPr>
        <w:pStyle w:val="238"/>
        <w:spacing w:line="360" w:lineRule="auto"/>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法定代表人</w:t>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 xml:space="preserve">                           法定代表人</w:t>
      </w:r>
    </w:p>
    <w:p w14:paraId="6BB103AD">
      <w:pPr>
        <w:pStyle w:val="238"/>
        <w:spacing w:line="360" w:lineRule="auto"/>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或其 授权代理人                         或其授权代理人</w:t>
      </w:r>
      <w:r>
        <w:rPr>
          <w:rFonts w:hint="eastAsia" w:hAnsi="宋体" w:eastAsia="宋体" w:cs="宋体"/>
          <w:color w:val="auto"/>
          <w:sz w:val="24"/>
          <w:szCs w:val="24"/>
          <w:highlight w:val="none"/>
        </w:rPr>
        <w:tab/>
      </w:r>
      <w:r>
        <w:rPr>
          <w:rFonts w:hint="eastAsia" w:hAnsi="宋体" w:eastAsia="宋体" w:cs="宋体"/>
          <w:color w:val="auto"/>
          <w:sz w:val="24"/>
          <w:szCs w:val="24"/>
          <w:highlight w:val="none"/>
        </w:rPr>
        <w:t xml:space="preserve">                                </w:t>
      </w:r>
    </w:p>
    <w:p w14:paraId="5F138F2E">
      <w:pPr>
        <w:pStyle w:val="238"/>
        <w:spacing w:line="360" w:lineRule="auto"/>
        <w:ind w:firstLine="480"/>
        <w:rPr>
          <w:rFonts w:hint="eastAsia" w:hAnsi="宋体" w:eastAsia="宋体" w:cs="宋体"/>
          <w:color w:val="auto"/>
          <w:sz w:val="24"/>
          <w:szCs w:val="24"/>
          <w:highlight w:val="none"/>
        </w:rPr>
      </w:pPr>
    </w:p>
    <w:p w14:paraId="04730261">
      <w:pPr>
        <w:pStyle w:val="238"/>
        <w:spacing w:line="360" w:lineRule="auto"/>
        <w:ind w:firstLine="480"/>
        <w:rPr>
          <w:rFonts w:hint="eastAsia" w:hAnsi="宋体" w:eastAsia="宋体" w:cs="宋体"/>
          <w:color w:val="auto"/>
          <w:sz w:val="24"/>
          <w:szCs w:val="24"/>
          <w:highlight w:val="none"/>
        </w:rPr>
      </w:pPr>
    </w:p>
    <w:p w14:paraId="6AD42BBF">
      <w:pPr>
        <w:pStyle w:val="238"/>
        <w:spacing w:line="360" w:lineRule="auto"/>
        <w:ind w:firstLine="5280"/>
        <w:rPr>
          <w:rFonts w:hint="eastAsia" w:hAnsi="宋体" w:eastAsia="宋体" w:cs="宋体"/>
          <w:color w:val="auto"/>
          <w:sz w:val="24"/>
          <w:szCs w:val="24"/>
          <w:highlight w:val="none"/>
        </w:rPr>
      </w:pPr>
      <w:r>
        <w:rPr>
          <w:rFonts w:hint="eastAsia" w:hAnsi="宋体" w:eastAsia="宋体" w:cs="宋体"/>
          <w:color w:val="auto"/>
          <w:sz w:val="24"/>
          <w:szCs w:val="24"/>
          <w:highlight w:val="none"/>
        </w:rPr>
        <w:t>签订日期：         年     月     日</w:t>
      </w:r>
    </w:p>
    <w:p w14:paraId="58AAB3FF">
      <w:pPr>
        <w:pStyle w:val="238"/>
        <w:spacing w:line="360" w:lineRule="auto"/>
        <w:ind w:firstLine="5280"/>
        <w:rPr>
          <w:rFonts w:hint="eastAsia" w:hAnsi="宋体" w:eastAsia="宋体" w:cs="宋体"/>
          <w:color w:val="auto"/>
          <w:sz w:val="24"/>
          <w:szCs w:val="24"/>
          <w:highlight w:val="none"/>
        </w:rPr>
      </w:pPr>
    </w:p>
    <w:p w14:paraId="1BF1604B">
      <w:pPr>
        <w:spacing w:line="360" w:lineRule="auto"/>
        <w:jc w:val="center"/>
        <w:rPr>
          <w:color w:val="auto"/>
          <w:sz w:val="44"/>
          <w:szCs w:val="44"/>
          <w:highlight w:val="none"/>
        </w:rPr>
      </w:pPr>
      <w:r>
        <w:rPr>
          <w:rFonts w:hint="eastAsia" w:ascii="黑体" w:hAnsi="宋体" w:eastAsia="黑体" w:cs="黑体"/>
          <w:color w:val="auto"/>
          <w:sz w:val="44"/>
          <w:szCs w:val="44"/>
          <w:highlight w:val="none"/>
        </w:rPr>
        <w:t> </w:t>
      </w:r>
      <w:r>
        <w:rPr>
          <w:rFonts w:hint="eastAsia" w:hAnsi="宋体"/>
          <w:color w:val="auto"/>
          <w:sz w:val="44"/>
          <w:szCs w:val="44"/>
          <w:highlight w:val="none"/>
        </w:rPr>
        <w:t>政府采购合同履约验收书</w:t>
      </w:r>
    </w:p>
    <w:p w14:paraId="535D0C40">
      <w:pPr>
        <w:spacing w:line="360" w:lineRule="auto"/>
        <w:ind w:firstLine="420"/>
        <w:jc w:val="left"/>
        <w:rPr>
          <w:rFonts w:eastAsia="宋体"/>
          <w:color w:val="auto"/>
          <w:highlight w:val="none"/>
        </w:rPr>
      </w:pPr>
      <w:r>
        <w:rPr>
          <w:rFonts w:hint="eastAsia" w:hAnsi="宋体" w:eastAsia="宋体"/>
          <w:color w:val="auto"/>
          <w:szCs w:val="32"/>
          <w:highlight w:val="none"/>
        </w:rPr>
        <w:t>根据政府采购合同（编号：</w:t>
      </w:r>
      <w:r>
        <w:rPr>
          <w:rFonts w:eastAsia="宋体"/>
          <w:color w:val="auto"/>
          <w:szCs w:val="32"/>
          <w:highlight w:val="none"/>
          <w:u w:val="single"/>
        </w:rPr>
        <w:t xml:space="preserve">          </w:t>
      </w:r>
      <w:r>
        <w:rPr>
          <w:rFonts w:hint="eastAsia" w:hAnsi="宋体" w:eastAsia="宋体"/>
          <w:color w:val="auto"/>
          <w:szCs w:val="32"/>
          <w:highlight w:val="none"/>
        </w:rPr>
        <w:t>）的约定，我单位组织对</w:t>
      </w:r>
      <w:r>
        <w:rPr>
          <w:rFonts w:hint="eastAsia" w:hAnsi="宋体" w:eastAsia="宋体"/>
          <w:color w:val="auto"/>
          <w:szCs w:val="32"/>
          <w:highlight w:val="none"/>
          <w:u w:val="single"/>
        </w:rPr>
        <w:t>（项目名称）</w:t>
      </w:r>
      <w:r>
        <w:rPr>
          <w:rFonts w:hint="eastAsia" w:hAnsi="宋体" w:eastAsia="宋体"/>
          <w:color w:val="auto"/>
          <w:szCs w:val="32"/>
          <w:highlight w:val="none"/>
        </w:rPr>
        <w:t>项目中标（成交）供应商</w:t>
      </w:r>
      <w:r>
        <w:rPr>
          <w:rFonts w:hint="eastAsia" w:hAnsi="宋体" w:eastAsia="宋体"/>
          <w:color w:val="auto"/>
          <w:szCs w:val="32"/>
          <w:highlight w:val="none"/>
          <w:u w:val="single"/>
        </w:rPr>
        <w:t>（公司名称）</w:t>
      </w:r>
      <w:r>
        <w:rPr>
          <w:rFonts w:hint="eastAsia" w:hAnsi="宋体" w:eastAsia="宋体"/>
          <w:color w:val="auto"/>
          <w:szCs w:val="32"/>
          <w:highlight w:val="none"/>
        </w:rPr>
        <w:t>提供的服务进行了履约验收，验收情况如下：</w:t>
      </w:r>
    </w:p>
    <w:tbl>
      <w:tblPr>
        <w:tblStyle w:val="38"/>
        <w:tblW w:w="9850" w:type="dxa"/>
        <w:jc w:val="center"/>
        <w:tblLayout w:type="fixed"/>
        <w:tblCellMar>
          <w:top w:w="0" w:type="dxa"/>
          <w:left w:w="108" w:type="dxa"/>
          <w:bottom w:w="0" w:type="dxa"/>
          <w:right w:w="108" w:type="dxa"/>
        </w:tblCellMar>
      </w:tblPr>
      <w:tblGrid>
        <w:gridCol w:w="1842"/>
        <w:gridCol w:w="3266"/>
        <w:gridCol w:w="1885"/>
        <w:gridCol w:w="2857"/>
      </w:tblGrid>
      <w:tr w14:paraId="34BC6294">
        <w:tblPrEx>
          <w:tblCellMar>
            <w:top w:w="0" w:type="dxa"/>
            <w:left w:w="108" w:type="dxa"/>
            <w:bottom w:w="0" w:type="dxa"/>
            <w:right w:w="108" w:type="dxa"/>
          </w:tblCellMar>
        </w:tblPrEx>
        <w:trPr>
          <w:trHeight w:val="855" w:hRule="atLeast"/>
          <w:jc w:val="center"/>
        </w:trPr>
        <w:tc>
          <w:tcPr>
            <w:tcW w:w="1842" w:type="dxa"/>
            <w:tcBorders>
              <w:top w:val="single" w:color="auto" w:sz="8" w:space="0"/>
              <w:left w:val="single" w:color="auto" w:sz="8" w:space="0"/>
              <w:bottom w:val="single" w:color="auto" w:sz="4" w:space="0"/>
              <w:right w:val="single" w:color="auto" w:sz="4" w:space="0"/>
            </w:tcBorders>
            <w:noWrap w:val="0"/>
            <w:vAlign w:val="center"/>
          </w:tcPr>
          <w:p w14:paraId="2674BC27">
            <w:pPr>
              <w:spacing w:line="360" w:lineRule="auto"/>
              <w:jc w:val="center"/>
              <w:rPr>
                <w:rFonts w:eastAsia="宋体"/>
                <w:color w:val="auto"/>
                <w:szCs w:val="32"/>
                <w:highlight w:val="none"/>
              </w:rPr>
            </w:pPr>
            <w:r>
              <w:rPr>
                <w:rFonts w:hint="eastAsia" w:hAnsi="宋体" w:eastAsia="宋体"/>
                <w:color w:val="auto"/>
                <w:szCs w:val="32"/>
                <w:highlight w:val="none"/>
              </w:rPr>
              <w:t>项目名称</w:t>
            </w:r>
          </w:p>
        </w:tc>
        <w:tc>
          <w:tcPr>
            <w:tcW w:w="3266" w:type="dxa"/>
            <w:tcBorders>
              <w:top w:val="single" w:color="auto" w:sz="8" w:space="0"/>
              <w:left w:val="nil"/>
              <w:bottom w:val="single" w:color="auto" w:sz="4" w:space="0"/>
              <w:right w:val="single" w:color="auto" w:sz="4" w:space="0"/>
            </w:tcBorders>
            <w:noWrap w:val="0"/>
            <w:vAlign w:val="center"/>
          </w:tcPr>
          <w:p w14:paraId="49A3D140">
            <w:pPr>
              <w:spacing w:line="360" w:lineRule="auto"/>
              <w:jc w:val="center"/>
              <w:rPr>
                <w:rFonts w:eastAsia="宋体"/>
                <w:color w:val="auto"/>
                <w:szCs w:val="32"/>
                <w:highlight w:val="none"/>
              </w:rPr>
            </w:pPr>
          </w:p>
        </w:tc>
        <w:tc>
          <w:tcPr>
            <w:tcW w:w="1885" w:type="dxa"/>
            <w:tcBorders>
              <w:top w:val="single" w:color="auto" w:sz="8" w:space="0"/>
              <w:left w:val="nil"/>
              <w:bottom w:val="single" w:color="auto" w:sz="4" w:space="0"/>
              <w:right w:val="single" w:color="auto" w:sz="4" w:space="0"/>
            </w:tcBorders>
            <w:noWrap w:val="0"/>
            <w:vAlign w:val="center"/>
          </w:tcPr>
          <w:p w14:paraId="7D82BA28">
            <w:pPr>
              <w:spacing w:line="360" w:lineRule="auto"/>
              <w:jc w:val="center"/>
              <w:rPr>
                <w:rFonts w:eastAsia="宋体"/>
                <w:color w:val="auto"/>
                <w:szCs w:val="32"/>
                <w:highlight w:val="none"/>
              </w:rPr>
            </w:pPr>
            <w:r>
              <w:rPr>
                <w:rFonts w:hint="eastAsia" w:hAnsi="宋体" w:eastAsia="宋体"/>
                <w:color w:val="auto"/>
                <w:szCs w:val="32"/>
                <w:highlight w:val="none"/>
              </w:rPr>
              <w:t>项目地点</w:t>
            </w:r>
          </w:p>
        </w:tc>
        <w:tc>
          <w:tcPr>
            <w:tcW w:w="2857" w:type="dxa"/>
            <w:tcBorders>
              <w:top w:val="single" w:color="auto" w:sz="8" w:space="0"/>
              <w:left w:val="nil"/>
              <w:bottom w:val="single" w:color="auto" w:sz="4" w:space="0"/>
              <w:right w:val="single" w:color="auto" w:sz="8" w:space="0"/>
            </w:tcBorders>
            <w:noWrap w:val="0"/>
            <w:vAlign w:val="center"/>
          </w:tcPr>
          <w:p w14:paraId="1FF06B65">
            <w:pPr>
              <w:spacing w:line="360" w:lineRule="auto"/>
              <w:jc w:val="center"/>
              <w:rPr>
                <w:rFonts w:eastAsia="宋体"/>
                <w:color w:val="auto"/>
                <w:szCs w:val="32"/>
                <w:highlight w:val="none"/>
              </w:rPr>
            </w:pPr>
          </w:p>
        </w:tc>
      </w:tr>
      <w:tr w14:paraId="5E99CE2B">
        <w:tblPrEx>
          <w:tblCellMar>
            <w:top w:w="0" w:type="dxa"/>
            <w:left w:w="108" w:type="dxa"/>
            <w:bottom w:w="0" w:type="dxa"/>
            <w:right w:w="108" w:type="dxa"/>
          </w:tblCellMar>
        </w:tblPrEx>
        <w:trPr>
          <w:trHeight w:val="855" w:hRule="atLeast"/>
          <w:jc w:val="center"/>
        </w:trPr>
        <w:tc>
          <w:tcPr>
            <w:tcW w:w="1842" w:type="dxa"/>
            <w:tcBorders>
              <w:top w:val="nil"/>
              <w:left w:val="single" w:color="auto" w:sz="8" w:space="0"/>
              <w:bottom w:val="single" w:color="auto" w:sz="4" w:space="0"/>
              <w:right w:val="single" w:color="auto" w:sz="4" w:space="0"/>
            </w:tcBorders>
            <w:noWrap w:val="0"/>
            <w:vAlign w:val="center"/>
          </w:tcPr>
          <w:p w14:paraId="3058EC27">
            <w:pPr>
              <w:spacing w:line="360" w:lineRule="auto"/>
              <w:jc w:val="center"/>
              <w:rPr>
                <w:rFonts w:eastAsia="宋体"/>
                <w:color w:val="auto"/>
                <w:szCs w:val="32"/>
                <w:highlight w:val="none"/>
              </w:rPr>
            </w:pPr>
            <w:r>
              <w:rPr>
                <w:rFonts w:hint="eastAsia" w:hAnsi="宋体" w:eastAsia="宋体"/>
                <w:color w:val="auto"/>
                <w:szCs w:val="32"/>
                <w:highlight w:val="none"/>
              </w:rPr>
              <w:t>预算金额</w:t>
            </w:r>
          </w:p>
        </w:tc>
        <w:tc>
          <w:tcPr>
            <w:tcW w:w="3266" w:type="dxa"/>
            <w:tcBorders>
              <w:top w:val="single" w:color="auto" w:sz="4" w:space="0"/>
              <w:left w:val="nil"/>
              <w:bottom w:val="single" w:color="auto" w:sz="4" w:space="0"/>
              <w:right w:val="single" w:color="auto" w:sz="4" w:space="0"/>
            </w:tcBorders>
            <w:noWrap w:val="0"/>
            <w:vAlign w:val="center"/>
          </w:tcPr>
          <w:p w14:paraId="0901A901">
            <w:pPr>
              <w:spacing w:line="360" w:lineRule="auto"/>
              <w:jc w:val="center"/>
              <w:rPr>
                <w:rFonts w:eastAsia="宋体"/>
                <w:color w:val="auto"/>
                <w:szCs w:val="32"/>
                <w:highlight w:val="none"/>
              </w:rPr>
            </w:pPr>
          </w:p>
        </w:tc>
        <w:tc>
          <w:tcPr>
            <w:tcW w:w="1885" w:type="dxa"/>
            <w:tcBorders>
              <w:top w:val="nil"/>
              <w:left w:val="nil"/>
              <w:bottom w:val="nil"/>
              <w:right w:val="nil"/>
            </w:tcBorders>
            <w:noWrap w:val="0"/>
            <w:vAlign w:val="center"/>
          </w:tcPr>
          <w:p w14:paraId="4CF3D4F7">
            <w:pPr>
              <w:spacing w:line="360" w:lineRule="auto"/>
              <w:jc w:val="center"/>
              <w:rPr>
                <w:rFonts w:eastAsia="宋体"/>
                <w:color w:val="auto"/>
                <w:szCs w:val="32"/>
                <w:highlight w:val="none"/>
              </w:rPr>
            </w:pPr>
            <w:r>
              <w:rPr>
                <w:rFonts w:hint="eastAsia" w:hAnsi="宋体" w:eastAsia="宋体"/>
                <w:color w:val="auto"/>
                <w:szCs w:val="32"/>
                <w:highlight w:val="none"/>
              </w:rPr>
              <w:t>承接单位</w:t>
            </w:r>
          </w:p>
        </w:tc>
        <w:tc>
          <w:tcPr>
            <w:tcW w:w="2857" w:type="dxa"/>
            <w:tcBorders>
              <w:top w:val="nil"/>
              <w:left w:val="single" w:color="auto" w:sz="4" w:space="0"/>
              <w:bottom w:val="single" w:color="auto" w:sz="4" w:space="0"/>
              <w:right w:val="single" w:color="auto" w:sz="8" w:space="0"/>
            </w:tcBorders>
            <w:noWrap w:val="0"/>
            <w:vAlign w:val="center"/>
          </w:tcPr>
          <w:p w14:paraId="69536AE9">
            <w:pPr>
              <w:spacing w:line="360" w:lineRule="auto"/>
              <w:jc w:val="left"/>
              <w:rPr>
                <w:rFonts w:eastAsia="宋体"/>
                <w:color w:val="auto"/>
                <w:szCs w:val="32"/>
                <w:highlight w:val="none"/>
              </w:rPr>
            </w:pPr>
          </w:p>
        </w:tc>
      </w:tr>
      <w:tr w14:paraId="69CED38A">
        <w:tblPrEx>
          <w:tblCellMar>
            <w:top w:w="0" w:type="dxa"/>
            <w:left w:w="108" w:type="dxa"/>
            <w:bottom w:w="0" w:type="dxa"/>
            <w:right w:w="108" w:type="dxa"/>
          </w:tblCellMar>
        </w:tblPrEx>
        <w:trPr>
          <w:trHeight w:val="855" w:hRule="atLeast"/>
          <w:jc w:val="center"/>
        </w:trPr>
        <w:tc>
          <w:tcPr>
            <w:tcW w:w="1842" w:type="dxa"/>
            <w:tcBorders>
              <w:top w:val="nil"/>
              <w:left w:val="single" w:color="auto" w:sz="8" w:space="0"/>
              <w:bottom w:val="single" w:color="auto" w:sz="4" w:space="0"/>
              <w:right w:val="single" w:color="auto" w:sz="4" w:space="0"/>
            </w:tcBorders>
            <w:noWrap w:val="0"/>
            <w:vAlign w:val="center"/>
          </w:tcPr>
          <w:p w14:paraId="0AA49D7B">
            <w:pPr>
              <w:spacing w:line="360" w:lineRule="auto"/>
              <w:jc w:val="center"/>
              <w:rPr>
                <w:rFonts w:eastAsia="宋体"/>
                <w:color w:val="auto"/>
                <w:szCs w:val="32"/>
                <w:highlight w:val="none"/>
              </w:rPr>
            </w:pPr>
            <w:r>
              <w:rPr>
                <w:rFonts w:hint="eastAsia" w:hAnsi="宋体" w:eastAsia="宋体"/>
                <w:color w:val="auto"/>
                <w:szCs w:val="32"/>
                <w:highlight w:val="none"/>
              </w:rPr>
              <w:t>合同时间</w:t>
            </w:r>
          </w:p>
        </w:tc>
        <w:tc>
          <w:tcPr>
            <w:tcW w:w="3266" w:type="dxa"/>
            <w:tcBorders>
              <w:top w:val="single" w:color="auto" w:sz="4" w:space="0"/>
              <w:left w:val="nil"/>
              <w:bottom w:val="single" w:color="auto" w:sz="4" w:space="0"/>
              <w:right w:val="single" w:color="auto" w:sz="4" w:space="0"/>
            </w:tcBorders>
            <w:noWrap w:val="0"/>
            <w:vAlign w:val="center"/>
          </w:tcPr>
          <w:p w14:paraId="1EF38ADB">
            <w:pPr>
              <w:spacing w:line="360" w:lineRule="auto"/>
              <w:jc w:val="center"/>
              <w:rPr>
                <w:rFonts w:eastAsia="宋体"/>
                <w:color w:val="auto"/>
                <w:szCs w:val="32"/>
                <w:highlight w:val="none"/>
              </w:rPr>
            </w:pPr>
          </w:p>
        </w:tc>
        <w:tc>
          <w:tcPr>
            <w:tcW w:w="1885" w:type="dxa"/>
            <w:tcBorders>
              <w:top w:val="single" w:color="auto" w:sz="4" w:space="0"/>
              <w:left w:val="nil"/>
              <w:bottom w:val="single" w:color="auto" w:sz="4" w:space="0"/>
              <w:right w:val="single" w:color="auto" w:sz="4" w:space="0"/>
            </w:tcBorders>
            <w:noWrap w:val="0"/>
            <w:vAlign w:val="center"/>
          </w:tcPr>
          <w:p w14:paraId="22C08A91">
            <w:pPr>
              <w:spacing w:line="360" w:lineRule="auto"/>
              <w:jc w:val="center"/>
              <w:rPr>
                <w:rFonts w:eastAsia="宋体"/>
                <w:color w:val="auto"/>
                <w:szCs w:val="32"/>
                <w:highlight w:val="none"/>
              </w:rPr>
            </w:pPr>
            <w:r>
              <w:rPr>
                <w:rFonts w:hint="eastAsia" w:hAnsi="宋体" w:eastAsia="宋体"/>
                <w:color w:val="auto"/>
                <w:szCs w:val="32"/>
                <w:highlight w:val="none"/>
              </w:rPr>
              <w:t>项目开始时间</w:t>
            </w:r>
          </w:p>
        </w:tc>
        <w:tc>
          <w:tcPr>
            <w:tcW w:w="2857" w:type="dxa"/>
            <w:tcBorders>
              <w:top w:val="nil"/>
              <w:left w:val="nil"/>
              <w:bottom w:val="single" w:color="auto" w:sz="4" w:space="0"/>
              <w:right w:val="single" w:color="auto" w:sz="8" w:space="0"/>
            </w:tcBorders>
            <w:noWrap w:val="0"/>
            <w:vAlign w:val="center"/>
          </w:tcPr>
          <w:p w14:paraId="763C11F7">
            <w:pPr>
              <w:spacing w:line="360" w:lineRule="auto"/>
              <w:jc w:val="center"/>
              <w:rPr>
                <w:rFonts w:eastAsia="宋体"/>
                <w:color w:val="auto"/>
                <w:szCs w:val="32"/>
                <w:highlight w:val="none"/>
              </w:rPr>
            </w:pPr>
          </w:p>
        </w:tc>
      </w:tr>
      <w:tr w14:paraId="4DD6B776">
        <w:tblPrEx>
          <w:tblCellMar>
            <w:top w:w="0" w:type="dxa"/>
            <w:left w:w="108" w:type="dxa"/>
            <w:bottom w:w="0" w:type="dxa"/>
            <w:right w:w="108" w:type="dxa"/>
          </w:tblCellMar>
        </w:tblPrEx>
        <w:trPr>
          <w:trHeight w:val="855" w:hRule="atLeast"/>
          <w:jc w:val="center"/>
        </w:trPr>
        <w:tc>
          <w:tcPr>
            <w:tcW w:w="1842" w:type="dxa"/>
            <w:tcBorders>
              <w:top w:val="nil"/>
              <w:left w:val="single" w:color="auto" w:sz="8" w:space="0"/>
              <w:bottom w:val="single" w:color="auto" w:sz="4" w:space="0"/>
              <w:right w:val="single" w:color="auto" w:sz="4" w:space="0"/>
            </w:tcBorders>
            <w:noWrap w:val="0"/>
            <w:vAlign w:val="center"/>
          </w:tcPr>
          <w:p w14:paraId="5F568864">
            <w:pPr>
              <w:spacing w:line="360" w:lineRule="auto"/>
              <w:jc w:val="center"/>
              <w:rPr>
                <w:rFonts w:eastAsia="宋体"/>
                <w:color w:val="auto"/>
                <w:szCs w:val="32"/>
                <w:highlight w:val="none"/>
              </w:rPr>
            </w:pPr>
            <w:r>
              <w:rPr>
                <w:rFonts w:hint="eastAsia" w:hAnsi="宋体" w:eastAsia="宋体"/>
                <w:color w:val="auto"/>
                <w:szCs w:val="32"/>
                <w:highlight w:val="none"/>
              </w:rPr>
              <w:t>项目结束时间</w:t>
            </w:r>
          </w:p>
        </w:tc>
        <w:tc>
          <w:tcPr>
            <w:tcW w:w="3266" w:type="dxa"/>
            <w:tcBorders>
              <w:top w:val="single" w:color="auto" w:sz="4" w:space="0"/>
              <w:left w:val="nil"/>
              <w:bottom w:val="single" w:color="auto" w:sz="4" w:space="0"/>
              <w:right w:val="single" w:color="auto" w:sz="4" w:space="0"/>
            </w:tcBorders>
            <w:noWrap w:val="0"/>
            <w:vAlign w:val="center"/>
          </w:tcPr>
          <w:p w14:paraId="2799B08C">
            <w:pPr>
              <w:spacing w:line="360" w:lineRule="auto"/>
              <w:jc w:val="center"/>
              <w:rPr>
                <w:rFonts w:eastAsia="宋体"/>
                <w:color w:val="auto"/>
                <w:szCs w:val="32"/>
                <w:highlight w:val="none"/>
              </w:rPr>
            </w:pPr>
          </w:p>
        </w:tc>
        <w:tc>
          <w:tcPr>
            <w:tcW w:w="1885" w:type="dxa"/>
            <w:tcBorders>
              <w:top w:val="nil"/>
              <w:left w:val="nil"/>
              <w:bottom w:val="single" w:color="auto" w:sz="4" w:space="0"/>
              <w:right w:val="single" w:color="auto" w:sz="4" w:space="0"/>
            </w:tcBorders>
            <w:noWrap w:val="0"/>
            <w:vAlign w:val="center"/>
          </w:tcPr>
          <w:p w14:paraId="2222A291">
            <w:pPr>
              <w:spacing w:line="360" w:lineRule="auto"/>
              <w:jc w:val="center"/>
              <w:rPr>
                <w:rFonts w:eastAsia="宋体"/>
                <w:color w:val="auto"/>
                <w:szCs w:val="32"/>
                <w:highlight w:val="none"/>
              </w:rPr>
            </w:pPr>
            <w:r>
              <w:rPr>
                <w:rFonts w:hint="eastAsia" w:hAnsi="宋体" w:eastAsia="宋体"/>
                <w:color w:val="auto"/>
                <w:szCs w:val="32"/>
                <w:highlight w:val="none"/>
              </w:rPr>
              <w:t>项目联系人</w:t>
            </w:r>
          </w:p>
        </w:tc>
        <w:tc>
          <w:tcPr>
            <w:tcW w:w="2857" w:type="dxa"/>
            <w:tcBorders>
              <w:top w:val="nil"/>
              <w:left w:val="nil"/>
              <w:bottom w:val="single" w:color="auto" w:sz="4" w:space="0"/>
              <w:right w:val="single" w:color="auto" w:sz="8" w:space="0"/>
            </w:tcBorders>
            <w:noWrap w:val="0"/>
            <w:vAlign w:val="center"/>
          </w:tcPr>
          <w:p w14:paraId="70463F1F">
            <w:pPr>
              <w:spacing w:line="360" w:lineRule="auto"/>
              <w:jc w:val="center"/>
              <w:rPr>
                <w:rFonts w:eastAsia="宋体"/>
                <w:color w:val="auto"/>
                <w:szCs w:val="32"/>
                <w:highlight w:val="none"/>
              </w:rPr>
            </w:pPr>
          </w:p>
        </w:tc>
      </w:tr>
      <w:tr w14:paraId="5919ACD6">
        <w:tblPrEx>
          <w:tblCellMar>
            <w:top w:w="0" w:type="dxa"/>
            <w:left w:w="108" w:type="dxa"/>
            <w:bottom w:w="0" w:type="dxa"/>
            <w:right w:w="108" w:type="dxa"/>
          </w:tblCellMar>
        </w:tblPrEx>
        <w:trPr>
          <w:trHeight w:val="3046" w:hRule="atLeast"/>
          <w:jc w:val="center"/>
        </w:trPr>
        <w:tc>
          <w:tcPr>
            <w:tcW w:w="9850" w:type="dxa"/>
            <w:gridSpan w:val="4"/>
            <w:tcBorders>
              <w:top w:val="single" w:color="auto" w:sz="4" w:space="0"/>
              <w:left w:val="single" w:color="auto" w:sz="8" w:space="0"/>
              <w:bottom w:val="single" w:color="auto" w:sz="4" w:space="0"/>
              <w:right w:val="single" w:color="000000" w:sz="8" w:space="0"/>
            </w:tcBorders>
            <w:noWrap w:val="0"/>
          </w:tcPr>
          <w:p w14:paraId="6F512D0C">
            <w:pPr>
              <w:spacing w:line="360" w:lineRule="auto"/>
              <w:jc w:val="center"/>
              <w:rPr>
                <w:rFonts w:eastAsia="宋体"/>
                <w:b/>
                <w:bCs/>
                <w:color w:val="auto"/>
                <w:szCs w:val="32"/>
                <w:highlight w:val="none"/>
              </w:rPr>
            </w:pPr>
            <w:r>
              <w:rPr>
                <w:rFonts w:hint="eastAsia" w:hAnsi="宋体" w:eastAsia="宋体"/>
                <w:b/>
                <w:bCs/>
                <w:color w:val="auto"/>
                <w:szCs w:val="32"/>
                <w:highlight w:val="none"/>
              </w:rPr>
              <w:t>验收情况和验收意见</w:t>
            </w:r>
          </w:p>
          <w:p w14:paraId="02D53CA2">
            <w:pPr>
              <w:spacing w:line="360" w:lineRule="auto"/>
              <w:rPr>
                <w:rFonts w:eastAsia="宋体"/>
                <w:color w:val="auto"/>
                <w:szCs w:val="32"/>
                <w:highlight w:val="none"/>
              </w:rPr>
            </w:pPr>
            <w:r>
              <w:rPr>
                <w:rFonts w:hint="eastAsia" w:hAnsi="宋体" w:eastAsia="宋体"/>
                <w:color w:val="auto"/>
                <w:szCs w:val="32"/>
                <w:highlight w:val="none"/>
              </w:rPr>
              <w:t>（可另附）</w:t>
            </w:r>
          </w:p>
          <w:p w14:paraId="2124A3AE">
            <w:pPr>
              <w:spacing w:line="360" w:lineRule="auto"/>
              <w:rPr>
                <w:rFonts w:eastAsia="宋体"/>
                <w:color w:val="auto"/>
                <w:szCs w:val="32"/>
                <w:highlight w:val="none"/>
              </w:rPr>
            </w:pPr>
          </w:p>
          <w:p w14:paraId="7729D6DC">
            <w:pPr>
              <w:spacing w:line="360" w:lineRule="auto"/>
              <w:rPr>
                <w:rFonts w:eastAsia="宋体"/>
                <w:color w:val="auto"/>
                <w:szCs w:val="32"/>
                <w:highlight w:val="none"/>
              </w:rPr>
            </w:pPr>
          </w:p>
          <w:p w14:paraId="56D3BCC5">
            <w:pPr>
              <w:spacing w:line="360" w:lineRule="auto"/>
              <w:rPr>
                <w:rFonts w:eastAsia="宋体"/>
                <w:color w:val="auto"/>
                <w:szCs w:val="32"/>
                <w:highlight w:val="none"/>
              </w:rPr>
            </w:pPr>
          </w:p>
          <w:p w14:paraId="75850810">
            <w:pPr>
              <w:spacing w:line="360" w:lineRule="auto"/>
              <w:rPr>
                <w:rFonts w:eastAsia="宋体"/>
                <w:color w:val="auto"/>
                <w:szCs w:val="32"/>
                <w:highlight w:val="none"/>
              </w:rPr>
            </w:pPr>
          </w:p>
        </w:tc>
      </w:tr>
      <w:tr w14:paraId="3BE88A55">
        <w:tblPrEx>
          <w:tblCellMar>
            <w:top w:w="0" w:type="dxa"/>
            <w:left w:w="108" w:type="dxa"/>
            <w:bottom w:w="0" w:type="dxa"/>
            <w:right w:w="108" w:type="dxa"/>
          </w:tblCellMar>
        </w:tblPrEx>
        <w:trPr>
          <w:trHeight w:val="567" w:hRule="atLeast"/>
          <w:jc w:val="center"/>
        </w:trPr>
        <w:tc>
          <w:tcPr>
            <w:tcW w:w="9850" w:type="dxa"/>
            <w:gridSpan w:val="4"/>
            <w:tcBorders>
              <w:top w:val="single" w:color="auto" w:sz="4" w:space="0"/>
              <w:left w:val="single" w:color="auto" w:sz="8" w:space="0"/>
              <w:bottom w:val="single" w:color="auto" w:sz="4" w:space="0"/>
              <w:right w:val="single" w:color="000000" w:sz="8" w:space="0"/>
            </w:tcBorders>
            <w:noWrap w:val="0"/>
          </w:tcPr>
          <w:p w14:paraId="64773F09">
            <w:pPr>
              <w:spacing w:line="360" w:lineRule="auto"/>
              <w:jc w:val="left"/>
              <w:rPr>
                <w:rFonts w:eastAsia="宋体"/>
                <w:color w:val="auto"/>
                <w:szCs w:val="32"/>
                <w:highlight w:val="none"/>
              </w:rPr>
            </w:pPr>
            <w:r>
              <w:rPr>
                <w:rFonts w:hint="eastAsia" w:hAnsi="宋体" w:eastAsia="宋体"/>
                <w:color w:val="auto"/>
                <w:szCs w:val="32"/>
                <w:highlight w:val="none"/>
              </w:rPr>
              <w:t>验收小组（签字）：</w:t>
            </w:r>
          </w:p>
          <w:p w14:paraId="7D3D3437">
            <w:pPr>
              <w:spacing w:line="360" w:lineRule="auto"/>
              <w:jc w:val="left"/>
              <w:rPr>
                <w:rFonts w:eastAsia="宋体"/>
                <w:color w:val="auto"/>
                <w:szCs w:val="32"/>
                <w:highlight w:val="none"/>
              </w:rPr>
            </w:pPr>
          </w:p>
          <w:p w14:paraId="291CDCF2">
            <w:pPr>
              <w:spacing w:line="360" w:lineRule="auto"/>
              <w:jc w:val="left"/>
              <w:rPr>
                <w:rFonts w:eastAsia="宋体"/>
                <w:color w:val="auto"/>
                <w:szCs w:val="32"/>
                <w:highlight w:val="none"/>
              </w:rPr>
            </w:pPr>
            <w:r>
              <w:rPr>
                <w:rFonts w:hint="eastAsia" w:hAnsi="宋体" w:eastAsia="宋体"/>
                <w:color w:val="auto"/>
                <w:szCs w:val="32"/>
                <w:highlight w:val="none"/>
              </w:rPr>
              <w:t>　</w:t>
            </w:r>
            <w:r>
              <w:rPr>
                <w:rFonts w:eastAsia="宋体"/>
                <w:color w:val="auto"/>
                <w:szCs w:val="32"/>
                <w:highlight w:val="none"/>
              </w:rPr>
              <w:br w:type="textWrapping"/>
            </w:r>
            <w:r>
              <w:rPr>
                <w:rFonts w:hint="eastAsia" w:hAnsi="宋体" w:eastAsia="宋体"/>
                <w:color w:val="auto"/>
                <w:szCs w:val="32"/>
                <w:highlight w:val="none"/>
              </w:rPr>
              <w:t>　　　　　</w:t>
            </w:r>
            <w:r>
              <w:rPr>
                <w:rFonts w:eastAsia="宋体"/>
                <w:color w:val="auto"/>
                <w:szCs w:val="32"/>
                <w:highlight w:val="none"/>
              </w:rPr>
              <w:t xml:space="preserve">                              </w:t>
            </w:r>
            <w:r>
              <w:rPr>
                <w:rFonts w:hint="eastAsia" w:hAnsi="宋体" w:eastAsia="宋体"/>
                <w:color w:val="auto"/>
                <w:szCs w:val="32"/>
                <w:highlight w:val="none"/>
              </w:rPr>
              <w:t>年</w:t>
            </w:r>
            <w:r>
              <w:rPr>
                <w:rFonts w:eastAsia="宋体"/>
                <w:color w:val="auto"/>
                <w:szCs w:val="32"/>
                <w:highlight w:val="none"/>
              </w:rPr>
              <w:t xml:space="preserve">    </w:t>
            </w:r>
            <w:r>
              <w:rPr>
                <w:rFonts w:hint="eastAsia" w:hAnsi="宋体" w:eastAsia="宋体"/>
                <w:color w:val="auto"/>
                <w:szCs w:val="32"/>
                <w:highlight w:val="none"/>
              </w:rPr>
              <w:t>月</w:t>
            </w:r>
            <w:r>
              <w:rPr>
                <w:rFonts w:eastAsia="宋体"/>
                <w:color w:val="auto"/>
                <w:szCs w:val="32"/>
                <w:highlight w:val="none"/>
              </w:rPr>
              <w:t xml:space="preserve">    </w:t>
            </w:r>
            <w:r>
              <w:rPr>
                <w:rFonts w:hint="eastAsia" w:hAnsi="宋体" w:eastAsia="宋体"/>
                <w:color w:val="auto"/>
                <w:szCs w:val="32"/>
                <w:highlight w:val="none"/>
              </w:rPr>
              <w:t>日</w:t>
            </w:r>
          </w:p>
        </w:tc>
      </w:tr>
      <w:tr w14:paraId="1082FF04">
        <w:tblPrEx>
          <w:tblCellMar>
            <w:top w:w="0" w:type="dxa"/>
            <w:left w:w="108" w:type="dxa"/>
            <w:bottom w:w="0" w:type="dxa"/>
            <w:right w:w="108" w:type="dxa"/>
          </w:tblCellMar>
        </w:tblPrEx>
        <w:trPr>
          <w:trHeight w:val="567" w:hRule="atLeast"/>
          <w:jc w:val="center"/>
        </w:trPr>
        <w:tc>
          <w:tcPr>
            <w:tcW w:w="9850" w:type="dxa"/>
            <w:gridSpan w:val="4"/>
            <w:tcBorders>
              <w:top w:val="single" w:color="auto" w:sz="4" w:space="0"/>
              <w:left w:val="single" w:color="auto" w:sz="8" w:space="0"/>
              <w:bottom w:val="single" w:color="auto" w:sz="4" w:space="0"/>
              <w:right w:val="single" w:color="000000" w:sz="8" w:space="0"/>
            </w:tcBorders>
            <w:noWrap w:val="0"/>
          </w:tcPr>
          <w:p w14:paraId="175C78ED">
            <w:pPr>
              <w:spacing w:line="360" w:lineRule="auto"/>
              <w:jc w:val="left"/>
              <w:rPr>
                <w:rFonts w:eastAsia="宋体"/>
                <w:color w:val="auto"/>
                <w:szCs w:val="32"/>
                <w:highlight w:val="none"/>
              </w:rPr>
            </w:pPr>
            <w:r>
              <w:rPr>
                <w:rFonts w:hint="eastAsia" w:hAnsi="宋体" w:eastAsia="宋体"/>
                <w:color w:val="auto"/>
                <w:szCs w:val="32"/>
                <w:highlight w:val="none"/>
              </w:rPr>
              <w:t>供应商确认意见（签章）：</w:t>
            </w:r>
          </w:p>
          <w:p w14:paraId="6EF8A49F">
            <w:pPr>
              <w:spacing w:line="360" w:lineRule="auto"/>
              <w:jc w:val="left"/>
              <w:rPr>
                <w:rFonts w:eastAsia="宋体"/>
                <w:color w:val="auto"/>
                <w:szCs w:val="32"/>
                <w:highlight w:val="none"/>
              </w:rPr>
            </w:pPr>
            <w:r>
              <w:rPr>
                <w:rFonts w:hint="eastAsia" w:hAnsi="宋体" w:eastAsia="宋体"/>
                <w:color w:val="auto"/>
                <w:szCs w:val="32"/>
                <w:highlight w:val="none"/>
              </w:rPr>
              <w:t>　</w:t>
            </w:r>
            <w:r>
              <w:rPr>
                <w:rFonts w:eastAsia="宋体"/>
                <w:color w:val="auto"/>
                <w:szCs w:val="32"/>
                <w:highlight w:val="none"/>
              </w:rPr>
              <w:br w:type="textWrapping"/>
            </w:r>
            <w:r>
              <w:rPr>
                <w:rFonts w:hint="eastAsia" w:hAnsi="宋体" w:eastAsia="宋体"/>
                <w:color w:val="auto"/>
                <w:szCs w:val="32"/>
                <w:highlight w:val="none"/>
              </w:rPr>
              <w:t>　　</w:t>
            </w:r>
          </w:p>
          <w:p w14:paraId="6CF98F2B">
            <w:pPr>
              <w:spacing w:line="360" w:lineRule="auto"/>
              <w:jc w:val="left"/>
              <w:rPr>
                <w:rFonts w:eastAsia="宋体"/>
                <w:color w:val="auto"/>
                <w:szCs w:val="32"/>
                <w:highlight w:val="none"/>
              </w:rPr>
            </w:pPr>
            <w:r>
              <w:rPr>
                <w:rFonts w:hint="eastAsia" w:hAnsi="宋体" w:eastAsia="宋体"/>
                <w:color w:val="auto"/>
                <w:szCs w:val="32"/>
                <w:highlight w:val="none"/>
              </w:rPr>
              <w:t>　　　</w:t>
            </w:r>
            <w:r>
              <w:rPr>
                <w:rFonts w:eastAsia="宋体"/>
                <w:color w:val="auto"/>
                <w:szCs w:val="32"/>
                <w:highlight w:val="none"/>
              </w:rPr>
              <w:t xml:space="preserve">                              </w:t>
            </w:r>
            <w:r>
              <w:rPr>
                <w:rFonts w:hint="eastAsia" w:hAnsi="宋体" w:eastAsia="宋体"/>
                <w:color w:val="auto"/>
                <w:szCs w:val="32"/>
                <w:highlight w:val="none"/>
              </w:rPr>
              <w:t>年</w:t>
            </w:r>
            <w:r>
              <w:rPr>
                <w:rFonts w:eastAsia="宋体"/>
                <w:color w:val="auto"/>
                <w:szCs w:val="32"/>
                <w:highlight w:val="none"/>
              </w:rPr>
              <w:t xml:space="preserve">    </w:t>
            </w:r>
            <w:r>
              <w:rPr>
                <w:rFonts w:hint="eastAsia" w:hAnsi="宋体" w:eastAsia="宋体"/>
                <w:color w:val="auto"/>
                <w:szCs w:val="32"/>
                <w:highlight w:val="none"/>
              </w:rPr>
              <w:t>月</w:t>
            </w:r>
            <w:r>
              <w:rPr>
                <w:rFonts w:eastAsia="宋体"/>
                <w:color w:val="auto"/>
                <w:szCs w:val="32"/>
                <w:highlight w:val="none"/>
              </w:rPr>
              <w:t xml:space="preserve">    </w:t>
            </w:r>
            <w:r>
              <w:rPr>
                <w:rFonts w:hint="eastAsia" w:hAnsi="宋体" w:eastAsia="宋体"/>
                <w:color w:val="auto"/>
                <w:szCs w:val="32"/>
                <w:highlight w:val="none"/>
              </w:rPr>
              <w:t>日</w:t>
            </w:r>
          </w:p>
        </w:tc>
      </w:tr>
      <w:tr w14:paraId="5019386C">
        <w:tblPrEx>
          <w:tblCellMar>
            <w:top w:w="0" w:type="dxa"/>
            <w:left w:w="108" w:type="dxa"/>
            <w:bottom w:w="0" w:type="dxa"/>
            <w:right w:w="108" w:type="dxa"/>
          </w:tblCellMar>
        </w:tblPrEx>
        <w:trPr>
          <w:trHeight w:val="567" w:hRule="atLeast"/>
          <w:jc w:val="center"/>
        </w:trPr>
        <w:tc>
          <w:tcPr>
            <w:tcW w:w="9850" w:type="dxa"/>
            <w:gridSpan w:val="4"/>
            <w:tcBorders>
              <w:top w:val="single" w:color="auto" w:sz="4" w:space="0"/>
              <w:left w:val="single" w:color="auto" w:sz="8" w:space="0"/>
              <w:bottom w:val="single" w:color="auto" w:sz="4" w:space="0"/>
              <w:right w:val="single" w:color="000000" w:sz="8" w:space="0"/>
            </w:tcBorders>
            <w:noWrap w:val="0"/>
          </w:tcPr>
          <w:p w14:paraId="0E2C44F1">
            <w:pPr>
              <w:spacing w:line="360" w:lineRule="auto"/>
              <w:jc w:val="left"/>
              <w:rPr>
                <w:rFonts w:eastAsia="宋体"/>
                <w:color w:val="auto"/>
                <w:szCs w:val="32"/>
                <w:highlight w:val="none"/>
              </w:rPr>
            </w:pPr>
            <w:r>
              <w:rPr>
                <w:rFonts w:hint="eastAsia" w:hAnsi="宋体" w:eastAsia="宋体"/>
                <w:color w:val="auto"/>
                <w:szCs w:val="32"/>
                <w:highlight w:val="none"/>
              </w:rPr>
              <w:t>采购人确认意见（签章）：</w:t>
            </w:r>
          </w:p>
          <w:p w14:paraId="4010E0E8">
            <w:pPr>
              <w:spacing w:line="360" w:lineRule="auto"/>
              <w:jc w:val="left"/>
              <w:rPr>
                <w:rFonts w:eastAsia="宋体"/>
                <w:color w:val="auto"/>
                <w:szCs w:val="32"/>
                <w:highlight w:val="none"/>
              </w:rPr>
            </w:pPr>
          </w:p>
          <w:p w14:paraId="4558C53F">
            <w:pPr>
              <w:spacing w:line="360" w:lineRule="auto"/>
              <w:jc w:val="left"/>
              <w:rPr>
                <w:rFonts w:eastAsia="宋体"/>
                <w:color w:val="auto"/>
                <w:szCs w:val="32"/>
                <w:highlight w:val="none"/>
              </w:rPr>
            </w:pPr>
            <w:r>
              <w:rPr>
                <w:rFonts w:eastAsia="宋体"/>
                <w:color w:val="auto"/>
                <w:szCs w:val="32"/>
                <w:highlight w:val="none"/>
              </w:rPr>
              <w:br w:type="textWrapping"/>
            </w:r>
            <w:r>
              <w:rPr>
                <w:rFonts w:hint="eastAsia" w:hAnsi="宋体" w:eastAsia="宋体"/>
                <w:color w:val="auto"/>
                <w:szCs w:val="32"/>
                <w:highlight w:val="none"/>
              </w:rPr>
              <w:t>　　　　　</w:t>
            </w:r>
            <w:r>
              <w:rPr>
                <w:rFonts w:eastAsia="宋体"/>
                <w:color w:val="auto"/>
                <w:szCs w:val="32"/>
                <w:highlight w:val="none"/>
              </w:rPr>
              <w:t xml:space="preserve">                              </w:t>
            </w:r>
            <w:r>
              <w:rPr>
                <w:rFonts w:hint="eastAsia" w:hAnsi="宋体" w:eastAsia="宋体"/>
                <w:color w:val="auto"/>
                <w:szCs w:val="32"/>
                <w:highlight w:val="none"/>
              </w:rPr>
              <w:t>年</w:t>
            </w:r>
            <w:r>
              <w:rPr>
                <w:rFonts w:eastAsia="宋体"/>
                <w:color w:val="auto"/>
                <w:szCs w:val="32"/>
                <w:highlight w:val="none"/>
              </w:rPr>
              <w:t xml:space="preserve">    </w:t>
            </w:r>
            <w:r>
              <w:rPr>
                <w:rFonts w:hint="eastAsia" w:hAnsi="宋体" w:eastAsia="宋体"/>
                <w:color w:val="auto"/>
                <w:szCs w:val="32"/>
                <w:highlight w:val="none"/>
              </w:rPr>
              <w:t>月</w:t>
            </w:r>
            <w:r>
              <w:rPr>
                <w:rFonts w:eastAsia="宋体"/>
                <w:color w:val="auto"/>
                <w:szCs w:val="32"/>
                <w:highlight w:val="none"/>
              </w:rPr>
              <w:t xml:space="preserve">    </w:t>
            </w:r>
            <w:r>
              <w:rPr>
                <w:rFonts w:hint="eastAsia" w:hAnsi="宋体" w:eastAsia="宋体"/>
                <w:color w:val="auto"/>
                <w:szCs w:val="32"/>
                <w:highlight w:val="none"/>
              </w:rPr>
              <w:t>日</w:t>
            </w:r>
          </w:p>
        </w:tc>
      </w:tr>
    </w:tbl>
    <w:p w14:paraId="46B1ED61">
      <w:pPr>
        <w:pStyle w:val="228"/>
        <w:spacing w:line="360" w:lineRule="auto"/>
        <w:rPr>
          <w:color w:val="auto"/>
          <w:highlight w:val="none"/>
        </w:rPr>
      </w:pPr>
    </w:p>
    <w:p w14:paraId="66A96A3F">
      <w:pPr>
        <w:pStyle w:val="33"/>
        <w:spacing w:beforeAutospacing="0" w:afterAutospacing="0" w:line="360" w:lineRule="auto"/>
        <w:ind w:right="840"/>
        <w:jc w:val="center"/>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第</w:t>
      </w:r>
      <w:bookmarkEnd w:id="174"/>
      <w:r>
        <w:rPr>
          <w:rFonts w:hint="eastAsia" w:ascii="黑体" w:hAnsi="宋体" w:eastAsia="黑体" w:cs="黑体"/>
          <w:b/>
          <w:color w:val="auto"/>
          <w:sz w:val="44"/>
          <w:szCs w:val="44"/>
          <w:highlight w:val="none"/>
        </w:rPr>
        <w:t>四章 服务需求</w:t>
      </w:r>
      <w:bookmarkEnd w:id="175"/>
      <w:bookmarkEnd w:id="176"/>
      <w:bookmarkEnd w:id="177"/>
      <w:bookmarkEnd w:id="178"/>
      <w:bookmarkEnd w:id="179"/>
    </w:p>
    <w:p w14:paraId="673340FB">
      <w:pPr>
        <w:pStyle w:val="33"/>
        <w:spacing w:beforeAutospacing="0" w:afterAutospacing="0" w:line="360" w:lineRule="auto"/>
        <w:jc w:val="both"/>
        <w:rPr>
          <w:rFonts w:hint="eastAsia" w:ascii="宋体" w:hAnsi="宋体" w:eastAsia="宋体" w:cs="宋体"/>
          <w:color w:val="auto"/>
          <w:highlight w:val="none"/>
        </w:rPr>
      </w:pPr>
      <w:bookmarkStart w:id="182" w:name="_Toc26554093"/>
      <w:bookmarkStart w:id="183" w:name="_Toc49090575"/>
      <w:r>
        <w:rPr>
          <w:rFonts w:hint="eastAsia" w:ascii="宋体" w:hAnsi="宋体" w:eastAsia="宋体" w:cs="宋体"/>
          <w:color w:val="auto"/>
          <w:highlight w:val="none"/>
        </w:rPr>
        <w:t>项目属性:服务类项目。</w:t>
      </w:r>
      <w:bookmarkEnd w:id="182"/>
      <w:bookmarkEnd w:id="183"/>
    </w:p>
    <w:p w14:paraId="3CB01468">
      <w:pPr>
        <w:keepNext/>
        <w:keepLines/>
        <w:spacing w:line="440" w:lineRule="exact"/>
        <w:ind w:firstLine="482"/>
        <w:jc w:val="left"/>
        <w:outlineLvl w:val="0"/>
        <w:rPr>
          <w:rFonts w:hint="eastAsia" w:ascii="宋体" w:hAnsi="宋体" w:eastAsia="宋体" w:cs="仿宋"/>
          <w:b/>
          <w:bCs/>
          <w:color w:val="auto"/>
          <w:sz w:val="24"/>
          <w:highlight w:val="none"/>
        </w:rPr>
      </w:pPr>
      <w:r>
        <w:rPr>
          <w:rFonts w:hint="eastAsia" w:ascii="宋体" w:hAnsi="宋体" w:eastAsia="宋体" w:cs="仿宋"/>
          <w:b/>
          <w:bCs/>
          <w:color w:val="auto"/>
          <w:sz w:val="24"/>
          <w:highlight w:val="none"/>
        </w:rPr>
        <w:t>一、项目基本情况说明</w:t>
      </w:r>
    </w:p>
    <w:p w14:paraId="17762543">
      <w:pPr>
        <w:spacing w:line="480" w:lineRule="atLeast"/>
        <w:ind w:firstLine="480"/>
        <w:jc w:val="left"/>
        <w:rPr>
          <w:rFonts w:hint="eastAsia" w:ascii="宋体" w:hAnsi="宋体" w:eastAsia="宋体" w:cs="仿宋"/>
          <w:color w:val="auto"/>
          <w:sz w:val="24"/>
          <w:highlight w:val="none"/>
        </w:rPr>
      </w:pPr>
      <w:r>
        <w:rPr>
          <w:rFonts w:hint="eastAsia" w:ascii="宋体" w:hAnsi="宋体" w:eastAsia="宋体" w:cs="仿宋"/>
          <w:color w:val="auto"/>
          <w:sz w:val="24"/>
          <w:highlight w:val="none"/>
        </w:rPr>
        <w:t>1.服务范围：</w:t>
      </w:r>
      <w:r>
        <w:rPr>
          <w:rFonts w:hint="eastAsia" w:ascii="宋体" w:hAnsi="宋体" w:eastAsia="宋体" w:cs="仿宋"/>
          <w:color w:val="auto"/>
          <w:sz w:val="24"/>
          <w:highlight w:val="none"/>
          <w:lang w:eastAsia="zh-CN"/>
        </w:rPr>
        <w:t xml:space="preserve"> 盐城市大丰区新丰中学 2026-2027 学年度食堂餐饮服务项目</w:t>
      </w:r>
      <w:r>
        <w:rPr>
          <w:rFonts w:hint="eastAsia" w:ascii="宋体" w:hAnsi="宋体" w:eastAsia="宋体" w:cs="仿宋"/>
          <w:color w:val="auto"/>
          <w:sz w:val="24"/>
          <w:highlight w:val="none"/>
        </w:rPr>
        <w:t>，为纯劳务服务。在项目实施过程中菜品购买、水、电、气、厨具设备、易耗品等费用均由招标人承担。</w:t>
      </w:r>
    </w:p>
    <w:p w14:paraId="61B93EC4">
      <w:pPr>
        <w:spacing w:line="480" w:lineRule="atLeast"/>
        <w:ind w:firstLine="480"/>
        <w:jc w:val="left"/>
        <w:rPr>
          <w:rFonts w:hint="eastAsia" w:ascii="宋体" w:hAnsi="宋体" w:eastAsia="宋体" w:cs="仿宋"/>
          <w:color w:val="auto"/>
          <w:sz w:val="24"/>
          <w:highlight w:val="none"/>
        </w:rPr>
      </w:pPr>
      <w:r>
        <w:rPr>
          <w:rFonts w:hint="eastAsia" w:ascii="宋体" w:hAnsi="宋体" w:eastAsia="宋体" w:cs="仿宋"/>
          <w:color w:val="auto"/>
          <w:sz w:val="24"/>
          <w:highlight w:val="none"/>
        </w:rPr>
        <w:t xml:space="preserve">2. </w:t>
      </w:r>
      <w:bookmarkStart w:id="184" w:name="OLE_LINK2"/>
      <w:r>
        <w:rPr>
          <w:rFonts w:hint="eastAsia" w:ascii="宋体" w:hAnsi="宋体" w:eastAsia="宋体" w:cs="仿宋"/>
          <w:color w:val="auto"/>
          <w:sz w:val="24"/>
          <w:highlight w:val="none"/>
        </w:rPr>
        <w:t>服务内容：为全校师生提供就餐服务，早餐就餐人数约600名，中餐就餐人数约2700名，晚餐就餐人数约1740名，应无条件服从学校师生就餐需求。</w:t>
      </w:r>
      <w:bookmarkEnd w:id="184"/>
    </w:p>
    <w:p w14:paraId="1D3CBC6B">
      <w:pPr>
        <w:spacing w:line="480" w:lineRule="atLeast"/>
        <w:ind w:firstLine="480"/>
        <w:jc w:val="left"/>
        <w:rPr>
          <w:rFonts w:hint="eastAsia" w:ascii="宋体" w:hAnsi="宋体" w:eastAsia="宋体" w:cs="仿宋"/>
          <w:color w:val="auto"/>
          <w:sz w:val="24"/>
          <w:highlight w:val="none"/>
        </w:rPr>
      </w:pPr>
      <w:r>
        <w:rPr>
          <w:rFonts w:hint="eastAsia" w:ascii="宋体" w:hAnsi="宋体" w:eastAsia="宋体" w:cs="仿宋"/>
          <w:color w:val="auto"/>
          <w:sz w:val="24"/>
          <w:highlight w:val="none"/>
        </w:rPr>
        <w:t>3.服务期限：</w:t>
      </w:r>
      <w:bookmarkStart w:id="185" w:name="_Hlk205368773"/>
      <w:r>
        <w:rPr>
          <w:rFonts w:hint="eastAsia" w:ascii="宋体" w:hAnsi="宋体" w:eastAsia="宋体" w:cs="仿宋"/>
          <w:color w:val="auto"/>
          <w:sz w:val="24"/>
          <w:highlight w:val="none"/>
        </w:rPr>
        <w:t>一年，自签订合同之日起计算。</w:t>
      </w:r>
      <w:bookmarkEnd w:id="185"/>
    </w:p>
    <w:p w14:paraId="3A2DDDB5">
      <w:pPr>
        <w:spacing w:line="480" w:lineRule="atLeast"/>
        <w:ind w:firstLine="480"/>
        <w:jc w:val="left"/>
        <w:rPr>
          <w:rFonts w:hint="eastAsia" w:ascii="宋体" w:hAnsi="宋体" w:eastAsia="宋体" w:cs="仿宋"/>
          <w:color w:val="auto"/>
          <w:sz w:val="24"/>
          <w:highlight w:val="none"/>
        </w:rPr>
      </w:pPr>
      <w:r>
        <w:rPr>
          <w:rFonts w:hint="eastAsia" w:ascii="宋体" w:hAnsi="宋体" w:eastAsia="宋体" w:cs="仿宋"/>
          <w:color w:val="auto"/>
          <w:sz w:val="24"/>
          <w:highlight w:val="none"/>
        </w:rPr>
        <w:t>4.食堂配置: 学校食堂水、电、气、设备设施齐全，有粗加工间、仓储间、洗消间、操作间等功能间，具备完好的餐饮服务硬件设施。</w:t>
      </w:r>
    </w:p>
    <w:p w14:paraId="3A48B0B5">
      <w:pPr>
        <w:spacing w:line="480" w:lineRule="atLeast"/>
        <w:ind w:firstLine="482"/>
        <w:jc w:val="left"/>
        <w:rPr>
          <w:rFonts w:hint="eastAsia" w:ascii="宋体" w:hAnsi="宋体" w:eastAsia="宋体" w:cs="仿宋"/>
          <w:b/>
          <w:bCs/>
          <w:color w:val="auto"/>
          <w:sz w:val="24"/>
          <w:highlight w:val="none"/>
        </w:rPr>
      </w:pPr>
      <w:r>
        <w:rPr>
          <w:rFonts w:hint="eastAsia" w:ascii="宋体" w:hAnsi="宋体" w:eastAsia="宋体" w:cs="仿宋"/>
          <w:b/>
          <w:bCs/>
          <w:color w:val="auto"/>
          <w:sz w:val="24"/>
          <w:highlight w:val="none"/>
        </w:rPr>
        <w:t>二、食堂工作人员数量及要求</w:t>
      </w:r>
    </w:p>
    <w:p w14:paraId="72222A02">
      <w:pPr>
        <w:spacing w:line="480" w:lineRule="atLeast"/>
        <w:ind w:firstLine="480"/>
        <w:jc w:val="left"/>
        <w:rPr>
          <w:rFonts w:hint="eastAsia" w:ascii="宋体" w:hAnsi="宋体" w:eastAsia="宋体" w:cs="仿宋"/>
          <w:color w:val="auto"/>
          <w:sz w:val="24"/>
          <w:highlight w:val="none"/>
        </w:rPr>
      </w:pPr>
      <w:r>
        <w:rPr>
          <w:rFonts w:hint="eastAsia" w:ascii="宋体" w:hAnsi="宋体" w:eastAsia="宋体" w:cs="仿宋"/>
          <w:color w:val="auto"/>
          <w:sz w:val="24"/>
          <w:highlight w:val="none"/>
        </w:rPr>
        <w:t>为确保服务质量，食堂工作人员数量要求全日制工作人员37人。其中至少应包含主厨4名</w:t>
      </w:r>
      <w:r>
        <w:rPr>
          <w:rFonts w:hint="eastAsia" w:ascii="宋体" w:hAnsi="宋体" w:eastAsia="宋体" w:cs="Times New Roman"/>
          <w:b/>
          <w:bCs/>
          <w:color w:val="auto"/>
          <w:sz w:val="24"/>
          <w:szCs w:val="21"/>
          <w:highlight w:val="none"/>
          <w:lang w:val="en-US" w:eastAsia="zh-CN"/>
        </w:rPr>
        <w:t>且具有厨师职业资格证书，</w:t>
      </w:r>
      <w:r>
        <w:rPr>
          <w:rFonts w:hint="eastAsia" w:ascii="宋体" w:hAnsi="宋体" w:eastAsia="宋体" w:cs="仿宋"/>
          <w:color w:val="auto"/>
          <w:sz w:val="24"/>
          <w:highlight w:val="none"/>
        </w:rPr>
        <w:t>,其余为服务人员。所有员工年龄不得超过60周岁。必须身心健康，无精神病、传染病史和犯罪记录，上岗前所有工作人员必须办理健康证。工作期间统一着装，做到干净整洁卫生。食堂工作人员的招聘由中标人负责，但必须经招标人审查，食堂用工人数、工资、福利、保险等发生的所有费用由中标人承担，与招标人无关。因中标人原因造成的安全责任事故，一切责任均由中标人承担。</w:t>
      </w:r>
    </w:p>
    <w:p w14:paraId="7BD15A20">
      <w:pPr>
        <w:spacing w:line="480" w:lineRule="atLeast"/>
        <w:ind w:firstLine="480"/>
        <w:jc w:val="left"/>
        <w:rPr>
          <w:rFonts w:hint="default" w:ascii="宋体" w:hAnsi="宋体" w:eastAsia="宋体" w:cs="仿宋"/>
          <w:b/>
          <w:bCs/>
          <w:color w:val="auto"/>
          <w:sz w:val="24"/>
          <w:highlight w:val="none"/>
          <w:lang w:val="en-US" w:eastAsia="zh-CN"/>
        </w:rPr>
      </w:pPr>
      <w:r>
        <w:rPr>
          <w:rFonts w:hint="eastAsia" w:ascii="宋体" w:hAnsi="宋体" w:eastAsia="宋体" w:cs="仿宋"/>
          <w:b/>
          <w:bCs/>
          <w:color w:val="auto"/>
          <w:sz w:val="24"/>
          <w:highlight w:val="none"/>
          <w:lang w:val="en-US" w:eastAsia="zh-CN"/>
        </w:rPr>
        <w:t>其中投标人为本项目所有人员支付工资不得低于大丰区最低标准（按每月2430元/人计）；投标人至少为4名主厨缴纳社会养老保险</w:t>
      </w:r>
      <w:r>
        <w:rPr>
          <w:rFonts w:hint="default" w:ascii="宋体" w:hAnsi="宋体" w:eastAsia="宋体" w:cs="宋体"/>
          <w:b/>
          <w:bCs/>
          <w:color w:val="auto"/>
          <w:kern w:val="0"/>
          <w:sz w:val="24"/>
          <w:szCs w:val="24"/>
          <w:highlight w:val="none"/>
          <w:lang w:val="en-US" w:eastAsia="zh-CN" w:bidi="ar"/>
        </w:rPr>
        <w:t>（至少包含养老保险、医疗保险、失业保险、工伤保险）</w:t>
      </w:r>
      <w:r>
        <w:rPr>
          <w:rFonts w:hint="eastAsia" w:ascii="宋体" w:hAnsi="宋体" w:eastAsia="宋体" w:cs="仿宋"/>
          <w:b/>
          <w:bCs/>
          <w:color w:val="auto"/>
          <w:sz w:val="24"/>
          <w:highlight w:val="none"/>
          <w:lang w:val="en-US" w:eastAsia="zh-CN"/>
        </w:rPr>
        <w:t>，不得低于大丰区最低标准（按每月1292.47元/人计）；投标人为本项目所有人员缴纳意外险（包含意外身故或残疾、意外医疗），保额不得低于100万元/年/人（保费自行报价）。</w:t>
      </w:r>
    </w:p>
    <w:p w14:paraId="68CBE95C">
      <w:pPr>
        <w:spacing w:line="480" w:lineRule="atLeast"/>
        <w:ind w:firstLine="482"/>
        <w:jc w:val="left"/>
        <w:rPr>
          <w:rFonts w:hint="eastAsia" w:ascii="宋体" w:hAnsi="宋体" w:eastAsia="宋体" w:cs="仿宋"/>
          <w:b/>
          <w:bCs/>
          <w:color w:val="auto"/>
          <w:sz w:val="24"/>
          <w:highlight w:val="none"/>
        </w:rPr>
      </w:pPr>
      <w:r>
        <w:rPr>
          <w:rFonts w:hint="eastAsia" w:ascii="宋体" w:hAnsi="宋体" w:eastAsia="宋体" w:cs="仿宋"/>
          <w:b/>
          <w:bCs/>
          <w:color w:val="auto"/>
          <w:sz w:val="24"/>
          <w:highlight w:val="none"/>
        </w:rPr>
        <w:t>三、食堂安全管理要求</w:t>
      </w:r>
    </w:p>
    <w:p w14:paraId="4D415075">
      <w:pPr>
        <w:spacing w:line="480" w:lineRule="atLeast"/>
        <w:ind w:firstLine="482"/>
        <w:jc w:val="left"/>
        <w:rPr>
          <w:rFonts w:ascii="宋体" w:hAnsi="宋体" w:eastAsia="宋体" w:cs="仿宋"/>
          <w:b/>
          <w:bCs/>
          <w:color w:val="auto"/>
          <w:sz w:val="24"/>
          <w:highlight w:val="none"/>
        </w:rPr>
      </w:pPr>
      <w:r>
        <w:rPr>
          <w:rFonts w:hint="eastAsia" w:ascii="宋体" w:hAnsi="宋体" w:eastAsia="宋体" w:cs="仿宋"/>
          <w:b/>
          <w:bCs/>
          <w:color w:val="auto"/>
          <w:sz w:val="24"/>
          <w:highlight w:val="none"/>
        </w:rPr>
        <w:t>遵守《食品安全法》、《食品安全法实施条例》、《餐饮服务食品安全监督管理办法》《饭馆(餐厅)卫生标准》(GB16153)等国家和江苏省的法律法规规定、遵守学校规章制度。</w:t>
      </w:r>
    </w:p>
    <w:p w14:paraId="47C8C0F9">
      <w:pPr>
        <w:spacing w:line="480" w:lineRule="atLeast"/>
        <w:ind w:firstLine="482"/>
        <w:jc w:val="left"/>
        <w:rPr>
          <w:rFonts w:hint="eastAsia" w:ascii="宋体" w:hAnsi="宋体" w:eastAsia="宋体" w:cs="仿宋"/>
          <w:color w:val="auto"/>
          <w:sz w:val="24"/>
          <w:highlight w:val="none"/>
        </w:rPr>
      </w:pPr>
      <w:r>
        <w:rPr>
          <w:rFonts w:ascii="宋体" w:hAnsi="宋体" w:eastAsia="宋体" w:cs="仿宋"/>
          <w:b/>
          <w:bCs/>
          <w:color w:val="auto"/>
          <w:sz w:val="24"/>
          <w:highlight w:val="none"/>
        </w:rPr>
        <w:t>⑴食材验收：</w:t>
      </w:r>
    </w:p>
    <w:p w14:paraId="3936A88B">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1.严格规范大宗食材进货查验，建立“双人或多人联检”查验制度，查验人员至少包含食品安全员和食堂管理人员，集体验收，公开透明，清晰详实记录进货查验情况。</w:t>
      </w:r>
    </w:p>
    <w:p w14:paraId="49A36682">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2.食材进校验收应综合运用“望、闻、问、切”等多种方式，核对重量，核对生产日期和保质期，重点核查以下事项，核对包装完整性，核对食材一致性；查看食材色泽、形态；确认食材是否有异味。</w:t>
      </w:r>
    </w:p>
    <w:p w14:paraId="09394F09">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3.索取原材料产品合格证以及同批次检验（测）报告。采购畜禽肉类时，需具备动物产品检疫合格证明，猪肉还需附有非洲猪瘟检测证明、肉品品质检验合格证明；大米应具备镉、黄曲霉毒素等指标的检测报告。</w:t>
      </w:r>
    </w:p>
    <w:p w14:paraId="4E56CEFD">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4.进货查验记录和相关凭证的保存期限不少于产品保质期满后6个月；无明确保质期的，保存期限不少于2年。其他各项记录保存期限宜为2年。</w:t>
      </w:r>
    </w:p>
    <w:p w14:paraId="33BB8348">
      <w:pPr>
        <w:spacing w:line="480" w:lineRule="atLeast"/>
        <w:ind w:firstLine="482"/>
        <w:jc w:val="left"/>
        <w:rPr>
          <w:rFonts w:hint="eastAsia" w:ascii="宋体" w:hAnsi="宋体" w:eastAsia="宋体" w:cs="仿宋"/>
          <w:color w:val="auto"/>
          <w:sz w:val="24"/>
          <w:highlight w:val="none"/>
        </w:rPr>
      </w:pPr>
      <w:r>
        <w:rPr>
          <w:rFonts w:ascii="宋体" w:hAnsi="宋体" w:eastAsia="宋体" w:cs="仿宋"/>
          <w:b/>
          <w:bCs/>
          <w:color w:val="auto"/>
          <w:sz w:val="24"/>
          <w:highlight w:val="none"/>
        </w:rPr>
        <w:t>⑵食材贮存：</w:t>
      </w:r>
    </w:p>
    <w:p w14:paraId="7E38F2E5">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1.散装食品（食用农产品除外）应在贮存位置上标明食品名称、生产日期或生产批号、使用期限等信息。宜使用密闭容器贮存。</w:t>
      </w:r>
    </w:p>
    <w:p w14:paraId="39F0A830">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2.同一库房内贮存不同类别食品和非食品（如食品包装材料等），应分设存放区域，不同区域有明显的区分标识。</w:t>
      </w:r>
    </w:p>
    <w:p w14:paraId="390E8CE3">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3.贮存的食品和物品离墙、离地，距离墙壁和地面均应在10cm以上。</w:t>
      </w:r>
    </w:p>
    <w:p w14:paraId="22920F23">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4.冷冻贮存食品前宜分割食品，避免使用时反复解冻、冷冻。冷冻（藏）贮存食品时不宜堆积、挤压食品。</w:t>
      </w:r>
    </w:p>
    <w:p w14:paraId="56AD78FF">
      <w:pPr>
        <w:spacing w:line="480" w:lineRule="atLeast"/>
        <w:ind w:firstLine="482"/>
        <w:jc w:val="left"/>
        <w:rPr>
          <w:rFonts w:hint="eastAsia" w:ascii="宋体" w:hAnsi="宋体" w:eastAsia="宋体" w:cs="仿宋"/>
          <w:color w:val="auto"/>
          <w:sz w:val="24"/>
          <w:highlight w:val="none"/>
        </w:rPr>
      </w:pPr>
      <w:r>
        <w:rPr>
          <w:rFonts w:ascii="宋体" w:hAnsi="宋体" w:eastAsia="宋体" w:cs="仿宋"/>
          <w:b/>
          <w:bCs/>
          <w:color w:val="auto"/>
          <w:sz w:val="24"/>
          <w:highlight w:val="none"/>
        </w:rPr>
        <w:t>⑶食材加工制作：</w:t>
      </w:r>
    </w:p>
    <w:p w14:paraId="7D9460CA">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1.学校食堂不得制售冷荤类食品、生食类食品、裱花蛋糕，不得加工四季豆、鲜黄花菜、野生蘑菇、发芽土豆等高风险食品。</w:t>
      </w:r>
    </w:p>
    <w:p w14:paraId="1B426E77">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2.动物性、植物性、水产品等食品原料的工用具和容器应分开使用，并有明显区分标识。</w:t>
      </w:r>
    </w:p>
    <w:p w14:paraId="1F898DF7">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3.用于原料、半成品、成品的工用具和容器应分开使用，荤素、生熟应严格区分，并有明显区分标识。</w:t>
      </w:r>
    </w:p>
    <w:p w14:paraId="74C4564C">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4.专间和专用操作区使用的食品容器、工具、设备和清洁工具应专用。</w:t>
      </w:r>
    </w:p>
    <w:p w14:paraId="13B5AEE2">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5.生食蔬菜和水果应在专用区域或设施内清洗处理，必要时进行消毒。</w:t>
      </w:r>
    </w:p>
    <w:p w14:paraId="1FEA6A29">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6.未经清洁的禽蛋使用前应清洁外壳，必要时进行消毒。</w:t>
      </w:r>
    </w:p>
    <w:p w14:paraId="29B207EF">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7.食堂内不得饲养和宰杀禽、畜等动物。</w:t>
      </w:r>
    </w:p>
    <w:p w14:paraId="0E8405D5">
      <w:pPr>
        <w:spacing w:line="480" w:lineRule="atLeast"/>
        <w:ind w:firstLine="482"/>
        <w:jc w:val="left"/>
        <w:rPr>
          <w:rFonts w:hint="eastAsia" w:ascii="宋体" w:hAnsi="宋体" w:eastAsia="宋体" w:cs="仿宋"/>
          <w:color w:val="auto"/>
          <w:sz w:val="24"/>
          <w:highlight w:val="none"/>
        </w:rPr>
      </w:pPr>
      <w:r>
        <w:rPr>
          <w:rFonts w:ascii="宋体" w:hAnsi="宋体" w:eastAsia="宋体" w:cs="仿宋"/>
          <w:b/>
          <w:bCs/>
          <w:color w:val="auto"/>
          <w:sz w:val="24"/>
          <w:highlight w:val="none"/>
        </w:rPr>
        <w:t>⑷人员管理：</w:t>
      </w:r>
    </w:p>
    <w:p w14:paraId="0BC02BF4">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1.食堂配备专兼职食品安全管理人员。</w:t>
      </w:r>
    </w:p>
    <w:p w14:paraId="3BB7C8CF">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2.从事接触直接入口食品工作的食堂从业人员（含临时聘用人员）应取得有效健康证明。</w:t>
      </w:r>
    </w:p>
    <w:p w14:paraId="5FCA8A93">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3.定期对食堂管理人员和从业人员进行食品安全业务培训，每学期进行考核。</w:t>
      </w:r>
    </w:p>
    <w:p w14:paraId="6F044DC5">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4.从业人员应接受晨检。有发热、呕吐、腹泻、皮肤伤口或感染、咽部炎症等有碍食品安全病症的人员，应主动向食品安全管理人员等报告并暂停从事接触直接入口食品的工作，待查明原因并治愈后方可复岗。</w:t>
      </w:r>
    </w:p>
    <w:p w14:paraId="482569FB">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5.食品处理区内从业人员不得留长指甲、涂指甲油或化妆。工作时，佩戴的饰物不应外露。</w:t>
      </w:r>
    </w:p>
    <w:p w14:paraId="67E48C18">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6.从事接触直接入口食品工作的从业人员，加工食品前应进行手部消毒。</w:t>
      </w:r>
    </w:p>
    <w:p w14:paraId="617D9F06">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7.专间和专用操作区内的从业人员操作时应佩戴清洁的口罩、手套、工作帽等。</w:t>
      </w:r>
    </w:p>
    <w:p w14:paraId="3E71A145">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8.清洁操作区与其他操作区从业人员的工作服应有明显的颜色或标识区分。专间和专用操作区专用工作服与其他区域工作服外观应有明显区分。</w:t>
      </w:r>
    </w:p>
    <w:p w14:paraId="52DD180D">
      <w:pPr>
        <w:spacing w:line="480" w:lineRule="atLeast"/>
        <w:ind w:firstLine="482"/>
        <w:jc w:val="left"/>
        <w:rPr>
          <w:rFonts w:hint="eastAsia" w:ascii="宋体" w:hAnsi="宋体" w:eastAsia="宋体" w:cs="仿宋"/>
          <w:color w:val="auto"/>
          <w:sz w:val="24"/>
          <w:highlight w:val="none"/>
        </w:rPr>
      </w:pPr>
      <w:r>
        <w:rPr>
          <w:rFonts w:ascii="宋体" w:hAnsi="宋体" w:eastAsia="宋体" w:cs="仿宋"/>
          <w:b/>
          <w:bCs/>
          <w:color w:val="auto"/>
          <w:sz w:val="24"/>
          <w:highlight w:val="none"/>
        </w:rPr>
        <w:t>⑸添加剂管理：</w:t>
      </w:r>
    </w:p>
    <w:p w14:paraId="2A8B1E63">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1.食品添加剂专人专柜（位）保管，标注“食品添加剂”字样，并与食品、食品相关产品等分开存放。</w:t>
      </w:r>
    </w:p>
    <w:p w14:paraId="497F3503">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2.添加剂的使用应严格按照国家标准进行，明确允许使用的种类和最大用量，做到计量使用、专册记录，保存详细的使用记录，包括使用日期、种类、用量及相关负责人员信息。</w:t>
      </w:r>
    </w:p>
    <w:p w14:paraId="18B5EE1B">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3.用容器盛放开封后的食品添加剂的，应在容器上标明食品添加剂名称、生产日期或批号、使用期限，并保留食品添加剂原包装。</w:t>
      </w:r>
    </w:p>
    <w:p w14:paraId="47471E66">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4.严禁贮存和使用亚硝酸盐（包括亚硝酸钠、亚硝酸钾）。</w:t>
      </w:r>
    </w:p>
    <w:p w14:paraId="635A1C4C">
      <w:pPr>
        <w:spacing w:line="480" w:lineRule="atLeast"/>
        <w:ind w:firstLine="482"/>
        <w:jc w:val="left"/>
        <w:rPr>
          <w:rFonts w:hint="eastAsia" w:ascii="宋体" w:hAnsi="宋体" w:eastAsia="宋体" w:cs="仿宋"/>
          <w:color w:val="auto"/>
          <w:sz w:val="24"/>
          <w:highlight w:val="none"/>
        </w:rPr>
      </w:pPr>
      <w:r>
        <w:rPr>
          <w:rFonts w:ascii="宋体" w:hAnsi="宋体" w:eastAsia="宋体" w:cs="仿宋"/>
          <w:b/>
          <w:bCs/>
          <w:color w:val="auto"/>
          <w:sz w:val="24"/>
          <w:highlight w:val="none"/>
        </w:rPr>
        <w:t>⑹食品留样：</w:t>
      </w:r>
    </w:p>
    <w:p w14:paraId="5B872B2B">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1.对每餐次加工制作的每种食品成品进行留样，按品种分别盛放于清洗消毒后的专用密闭容器内。</w:t>
      </w:r>
    </w:p>
    <w:p w14:paraId="3D2DA454">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2.每个品种留样量不少于125克，由专用留样冰箱冷藏（0℃～8℃）保存48小时以上，并有留样记录。</w:t>
      </w:r>
    </w:p>
    <w:p w14:paraId="0F6867DB">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3.留样冰箱“双人双锁”，专人负责留样管理。</w:t>
      </w:r>
    </w:p>
    <w:p w14:paraId="79DDC8B1">
      <w:pPr>
        <w:spacing w:line="480" w:lineRule="atLeast"/>
        <w:ind w:firstLine="482"/>
        <w:jc w:val="left"/>
        <w:rPr>
          <w:rFonts w:hint="eastAsia" w:ascii="宋体" w:hAnsi="宋体" w:eastAsia="宋体" w:cs="仿宋"/>
          <w:color w:val="auto"/>
          <w:sz w:val="24"/>
          <w:highlight w:val="none"/>
        </w:rPr>
      </w:pPr>
      <w:r>
        <w:rPr>
          <w:rFonts w:ascii="宋体" w:hAnsi="宋体" w:eastAsia="宋体" w:cs="仿宋"/>
          <w:b/>
          <w:bCs/>
          <w:color w:val="auto"/>
          <w:sz w:val="24"/>
          <w:highlight w:val="none"/>
        </w:rPr>
        <w:t>⑺清洗消毒：</w:t>
      </w:r>
    </w:p>
    <w:p w14:paraId="09832275">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1.采用物理消毒或化学消毒的设备应能正常运转，消毒温度和时间应符合相关要求，消毒液配制和浓度应严格按照规定执行。采用自动清洗消毒的应严格遵循使用说明操作。</w:t>
      </w:r>
    </w:p>
    <w:p w14:paraId="19E1156A">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2.餐饮具清洗设施和设备应与食品原料及清洁工具的清洗设施、设备分开，并有明显区分。</w:t>
      </w:r>
    </w:p>
    <w:p w14:paraId="3778B841">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3.消毒后的餐饮具、盛放或接触直接入口食品的容器和工具，应定位存放在清洁、专用、密闭的保洁设施中，并有明显区分标识。定期清洁保洁设施，防止清洗消毒后的餐饮具受到污染。</w:t>
      </w:r>
    </w:p>
    <w:p w14:paraId="41B3BCD8">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4.每餐或每班使用专间前，应对操作台面和专间空气进行消毒。</w:t>
      </w:r>
    </w:p>
    <w:p w14:paraId="1764154D">
      <w:pPr>
        <w:spacing w:line="480" w:lineRule="atLeast"/>
        <w:ind w:firstLine="482"/>
        <w:jc w:val="left"/>
        <w:rPr>
          <w:rFonts w:hint="eastAsia" w:ascii="宋体" w:hAnsi="宋体" w:eastAsia="宋体" w:cs="仿宋"/>
          <w:color w:val="auto"/>
          <w:sz w:val="24"/>
          <w:highlight w:val="none"/>
        </w:rPr>
      </w:pPr>
      <w:r>
        <w:rPr>
          <w:rFonts w:ascii="宋体" w:hAnsi="宋体" w:eastAsia="宋体" w:cs="仿宋"/>
          <w:b/>
          <w:bCs/>
          <w:color w:val="auto"/>
          <w:sz w:val="24"/>
          <w:highlight w:val="none"/>
        </w:rPr>
        <w:t>⑻环境卫生管理：</w:t>
      </w:r>
    </w:p>
    <w:p w14:paraId="1D5FD882">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1.食品处理区保持墙壁和门窗无污渍、无灰尘，天花板无霉斑。</w:t>
      </w:r>
    </w:p>
    <w:p w14:paraId="606D2B0A">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2.就餐场所卫生清洁，地面、墙壁、门窗、天花板等无霉斑、污垢、积油、积水等情形。</w:t>
      </w:r>
    </w:p>
    <w:p w14:paraId="0A0450C9">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3.卫生间地面、洗手池及台面无积水、无污物、无垃圾，便池内外无污物、无积垢、冲水良好。</w:t>
      </w:r>
    </w:p>
    <w:p w14:paraId="36D0F4FB">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4.待清洗的工作服不得存放在食品处理区。</w:t>
      </w:r>
    </w:p>
    <w:p w14:paraId="706CB750">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5.应开展有害生物防治，遵循优先使用物理方法、必要时使用化学方法的原则。化学药剂应存放在专门设施内。</w:t>
      </w:r>
    </w:p>
    <w:p w14:paraId="073CBA0A">
      <w:pPr>
        <w:spacing w:line="480" w:lineRule="atLeast"/>
        <w:ind w:firstLine="482"/>
        <w:jc w:val="left"/>
        <w:rPr>
          <w:rFonts w:hint="eastAsia" w:ascii="宋体" w:hAnsi="宋体" w:eastAsia="宋体" w:cs="仿宋"/>
          <w:color w:val="auto"/>
          <w:sz w:val="24"/>
          <w:highlight w:val="none"/>
        </w:rPr>
      </w:pPr>
      <w:r>
        <w:rPr>
          <w:rFonts w:ascii="宋体" w:hAnsi="宋体" w:eastAsia="宋体" w:cs="仿宋"/>
          <w:b/>
          <w:bCs/>
          <w:color w:val="auto"/>
          <w:sz w:val="24"/>
          <w:highlight w:val="none"/>
        </w:rPr>
        <w:t>⑼餐厨废弃物处置：</w:t>
      </w:r>
    </w:p>
    <w:p w14:paraId="4CD17414">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1.餐厨废弃物应分类放置、及时清理，日产日清，不应溢出存放容器。</w:t>
      </w:r>
    </w:p>
    <w:p w14:paraId="6F936685">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2.废弃物存放容器应配有盖子，内壁光滑，易于清洁，及时清洁废弃物存放容器，必要时进行消毒。</w:t>
      </w:r>
    </w:p>
    <w:p w14:paraId="79322ADD">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3.食堂不能自行处理餐厨废弃物，应交由符合要求的生活垃圾运输单位或者餐厨垃圾处理单位处理。不具备条件的应在相关部门指导下处理餐厨废弃物。</w:t>
      </w:r>
    </w:p>
    <w:p w14:paraId="3DBF89B3">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4.应建立餐厨垃圾处置台账，详细记录餐厨垃圾的处置时间、种类、数量、收运者等信息。</w:t>
      </w:r>
    </w:p>
    <w:p w14:paraId="05D34740">
      <w:pPr>
        <w:spacing w:line="480" w:lineRule="atLeast"/>
        <w:ind w:firstLine="482"/>
        <w:jc w:val="left"/>
        <w:rPr>
          <w:rFonts w:hint="eastAsia" w:ascii="宋体" w:hAnsi="宋体" w:eastAsia="宋体" w:cs="仿宋"/>
          <w:b/>
          <w:bCs/>
          <w:color w:val="auto"/>
          <w:sz w:val="24"/>
          <w:highlight w:val="none"/>
        </w:rPr>
      </w:pPr>
      <w:r>
        <w:rPr>
          <w:rFonts w:ascii="宋体" w:hAnsi="宋体" w:eastAsia="宋体" w:cs="仿宋"/>
          <w:b/>
          <w:bCs/>
          <w:color w:val="auto"/>
          <w:sz w:val="24"/>
          <w:highlight w:val="none"/>
        </w:rPr>
        <w:t>⑽特殊食品和过敏原控制：</w:t>
      </w:r>
    </w:p>
    <w:p w14:paraId="3BE26DF4">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1.特殊食品（如无麸质食品、无乳糖食品）应与普通食品分开存放，并在食品加工和供应过程中避免交叉污染。</w:t>
      </w:r>
    </w:p>
    <w:p w14:paraId="100316FC">
      <w:pPr>
        <w:spacing w:line="480" w:lineRule="atLeast"/>
        <w:ind w:firstLine="480"/>
        <w:jc w:val="left"/>
        <w:rPr>
          <w:rFonts w:hint="eastAsia" w:ascii="宋体" w:hAnsi="宋体" w:eastAsia="宋体" w:cs="仿宋"/>
          <w:color w:val="auto"/>
          <w:sz w:val="24"/>
          <w:highlight w:val="none"/>
        </w:rPr>
      </w:pPr>
      <w:r>
        <w:rPr>
          <w:rFonts w:ascii="宋体" w:hAnsi="宋体" w:eastAsia="宋体" w:cs="仿宋"/>
          <w:color w:val="auto"/>
          <w:sz w:val="24"/>
          <w:highlight w:val="none"/>
        </w:rPr>
        <w:t>2.可能引发过敏反应的食品（如坚果、海鲜等）应在显著位置标识，确保相关信息在餐厅和食品供应点清晰可见。</w:t>
      </w:r>
    </w:p>
    <w:p w14:paraId="2548C620">
      <w:pPr>
        <w:spacing w:line="480" w:lineRule="atLeast"/>
        <w:ind w:firstLine="480"/>
        <w:jc w:val="left"/>
        <w:rPr>
          <w:rFonts w:hint="eastAsia" w:ascii="宋体" w:hAnsi="宋体" w:eastAsia="宋体" w:cs="仿宋"/>
          <w:color w:val="auto"/>
          <w:sz w:val="24"/>
          <w:highlight w:val="none"/>
        </w:rPr>
      </w:pPr>
      <w:r>
        <w:rPr>
          <w:rFonts w:hint="eastAsia" w:ascii="宋体" w:hAnsi="宋体" w:eastAsia="宋体" w:cs="仿宋"/>
          <w:color w:val="auto"/>
          <w:sz w:val="24"/>
          <w:highlight w:val="none"/>
        </w:rPr>
        <w:t>3</w:t>
      </w:r>
      <w:r>
        <w:rPr>
          <w:rFonts w:ascii="宋体" w:hAnsi="宋体" w:eastAsia="宋体" w:cs="仿宋"/>
          <w:color w:val="auto"/>
          <w:sz w:val="24"/>
          <w:highlight w:val="none"/>
        </w:rPr>
        <w:t>.食堂工作人员应定期接受食品安全和过敏原管理培训，掌握处理和准备特殊食品的正确方法，避免过敏原交叉污染。</w:t>
      </w:r>
    </w:p>
    <w:p w14:paraId="672B1FD3">
      <w:pPr>
        <w:spacing w:line="480" w:lineRule="atLeast"/>
        <w:ind w:firstLine="480"/>
        <w:jc w:val="left"/>
        <w:rPr>
          <w:rFonts w:hint="eastAsia" w:ascii="宋体" w:hAnsi="宋体" w:eastAsia="宋体" w:cs="仿宋"/>
          <w:color w:val="auto"/>
          <w:sz w:val="24"/>
          <w:highlight w:val="none"/>
        </w:rPr>
      </w:pPr>
      <w:r>
        <w:rPr>
          <w:rFonts w:hint="eastAsia" w:ascii="宋体" w:hAnsi="宋体" w:eastAsia="宋体" w:cs="仿宋"/>
          <w:color w:val="auto"/>
          <w:sz w:val="24"/>
          <w:highlight w:val="none"/>
        </w:rPr>
        <w:t>4</w:t>
      </w:r>
      <w:r>
        <w:rPr>
          <w:rFonts w:ascii="宋体" w:hAnsi="宋体" w:eastAsia="宋体" w:cs="仿宋"/>
          <w:color w:val="auto"/>
          <w:sz w:val="24"/>
          <w:highlight w:val="none"/>
        </w:rPr>
        <w:t>.建立过敏原控制台账，详细记录含有过敏原的食品种类、供应时间、使用食材以及相关学生的需求信息，确保信息准确无误。</w:t>
      </w:r>
    </w:p>
    <w:p w14:paraId="75E35F74">
      <w:pPr>
        <w:spacing w:line="480" w:lineRule="atLeast"/>
        <w:ind w:firstLine="482"/>
        <w:jc w:val="left"/>
        <w:rPr>
          <w:color w:val="auto"/>
          <w:highlight w:val="none"/>
        </w:rPr>
      </w:pPr>
      <w:r>
        <w:rPr>
          <w:rFonts w:hint="eastAsia" w:ascii="宋体" w:hAnsi="宋体" w:eastAsia="宋体" w:cs="仿宋"/>
          <w:b/>
          <w:bCs/>
          <w:color w:val="auto"/>
          <w:sz w:val="24"/>
          <w:highlight w:val="none"/>
        </w:rPr>
        <w:t>四、其他要求</w:t>
      </w:r>
    </w:p>
    <w:p w14:paraId="567BA1A4">
      <w:pPr>
        <w:spacing w:line="480" w:lineRule="atLeast"/>
        <w:ind w:firstLine="482"/>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default" w:ascii="宋体" w:hAnsi="宋体" w:eastAsia="宋体" w:cs="宋体"/>
          <w:color w:val="auto"/>
          <w:kern w:val="0"/>
          <w:sz w:val="24"/>
          <w:szCs w:val="24"/>
          <w:highlight w:val="none"/>
          <w:lang w:val="en-US" w:eastAsia="zh-CN" w:bidi="ar"/>
        </w:rPr>
        <w:t>乙方违反本章节安全管理、人员管理等要求的，按《</w:t>
      </w:r>
      <w:r>
        <w:rPr>
          <w:rFonts w:hint="eastAsia" w:ascii="宋体" w:hAnsi="宋体" w:eastAsia="宋体" w:cs="宋体"/>
          <w:color w:val="auto"/>
          <w:kern w:val="0"/>
          <w:sz w:val="24"/>
          <w:szCs w:val="24"/>
          <w:highlight w:val="none"/>
          <w:lang w:val="en-US" w:eastAsia="zh-CN" w:bidi="ar"/>
        </w:rPr>
        <w:t>盐城市大丰区新丰中学</w:t>
      </w:r>
      <w:r>
        <w:rPr>
          <w:rFonts w:hint="default" w:ascii="宋体" w:hAnsi="宋体" w:eastAsia="宋体" w:cs="宋体"/>
          <w:color w:val="auto"/>
          <w:kern w:val="0"/>
          <w:sz w:val="24"/>
          <w:szCs w:val="24"/>
          <w:highlight w:val="none"/>
          <w:lang w:val="en-US" w:eastAsia="zh-CN" w:bidi="ar"/>
        </w:rPr>
        <w:t>食堂管理条例》及本项目合同约定的</w:t>
      </w:r>
      <w:r>
        <w:rPr>
          <w:rFonts w:hint="eastAsia" w:ascii="宋体" w:hAnsi="宋体" w:eastAsia="宋体" w:cs="宋体"/>
          <w:color w:val="auto"/>
          <w:kern w:val="0"/>
          <w:sz w:val="24"/>
          <w:szCs w:val="24"/>
          <w:highlight w:val="none"/>
          <w:lang w:val="en-US" w:eastAsia="zh-CN" w:bidi="ar"/>
        </w:rPr>
        <w:t>违约</w:t>
      </w:r>
      <w:r>
        <w:rPr>
          <w:rFonts w:hint="default" w:ascii="宋体" w:hAnsi="宋体" w:eastAsia="宋体" w:cs="宋体"/>
          <w:color w:val="auto"/>
          <w:kern w:val="0"/>
          <w:sz w:val="24"/>
          <w:szCs w:val="24"/>
          <w:highlight w:val="none"/>
          <w:lang w:val="en-US" w:eastAsia="zh-CN" w:bidi="ar"/>
        </w:rPr>
        <w:t>标准执行，情节严重的，甲方有权终止合同并追究其赔偿责任。</w:t>
      </w:r>
    </w:p>
    <w:p w14:paraId="07C56BCF">
      <w:pPr>
        <w:spacing w:line="480" w:lineRule="atLeast"/>
        <w:ind w:firstLine="482"/>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食堂工作人员经甲方复核审查后由乙方自行负责聘用，乙方应当根据我国法律法规的规定与其聘用人员签订书面劳动合同并缴纳保险。食堂工作人员的工资、社会保险、意外伤害险、劳保和福利等所有费用均由乙方承担，与甲方无关。食堂工作人员在工作期间以及上下班途中发生的安全事故，一切法律责任和赔偿责任由乙方承担。</w:t>
      </w:r>
    </w:p>
    <w:p w14:paraId="5DDF6A9C">
      <w:pPr>
        <w:spacing w:line="480" w:lineRule="atLeast"/>
        <w:ind w:firstLine="482"/>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3、甲方以食堂现状为准交付乙方经营，学校不为瑕疵承担责任。</w:t>
      </w:r>
    </w:p>
    <w:p w14:paraId="375E0C9F">
      <w:pPr>
        <w:spacing w:line="480" w:lineRule="atLeast"/>
        <w:ind w:firstLine="482"/>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4、乙方必须服从甲方对食堂的统一管理，否则每次需承担违约金1000元,累计有三次不服从甲方管理的,甲方将终止其合同，没收其履约保证金。</w:t>
      </w:r>
    </w:p>
    <w:p w14:paraId="24BC2705">
      <w:pPr>
        <w:spacing w:line="480" w:lineRule="atLeast"/>
        <w:ind w:firstLine="482"/>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5、乙方不得变更墙体及附属设施,不得损坏学校有关设备,不得擅自搭建附属设备。</w:t>
      </w:r>
    </w:p>
    <w:p w14:paraId="707EF9CB">
      <w:pPr>
        <w:spacing w:line="480" w:lineRule="atLeast"/>
        <w:ind w:firstLine="482"/>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食堂卫生由乙方负责管理。如卫生检查不能通过的,区卫生监督所责令整改、罚款等,其整改、罚款等均由乙方自负。如服务期限内行政、卫生监督部门行政处罚、通报(包括暗访)两次及以上的,学校视情节轻重可以终止合同。</w:t>
      </w:r>
    </w:p>
    <w:p w14:paraId="747A36E4">
      <w:pPr>
        <w:spacing w:line="480" w:lineRule="atLeast"/>
        <w:ind w:firstLine="482"/>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7、食堂员工请假或外来人员来校看望员工均要向食堂管理者报备,否则,学校抽查发现,乙方需承担每人次违约金200元。食堂实行签到制度, 所有工作人员每天签到2次，对于未签到的,乙方需承担每人次违约金10元。</w:t>
      </w:r>
    </w:p>
    <w:p w14:paraId="69144D27">
      <w:pPr>
        <w:spacing w:line="480" w:lineRule="atLeast"/>
        <w:ind w:firstLine="480"/>
        <w:jc w:val="left"/>
        <w:rPr>
          <w:rFonts w:hint="eastAsia" w:ascii="宋体" w:hAnsi="宋体" w:eastAsia="宋体" w:cs="仿宋"/>
          <w:color w:val="auto"/>
          <w:sz w:val="24"/>
          <w:highlight w:val="none"/>
        </w:rPr>
      </w:pPr>
      <w:r>
        <w:rPr>
          <w:rFonts w:hint="eastAsia" w:ascii="宋体" w:hAnsi="宋体" w:eastAsia="宋体" w:cs="仿宋"/>
          <w:color w:val="auto"/>
          <w:sz w:val="24"/>
          <w:highlight w:val="none"/>
          <w:lang w:val="en-US" w:eastAsia="zh-CN"/>
        </w:rPr>
        <w:t>8</w:t>
      </w:r>
      <w:r>
        <w:rPr>
          <w:rFonts w:hint="eastAsia" w:ascii="宋体" w:hAnsi="宋体" w:eastAsia="宋体" w:cs="仿宋"/>
          <w:color w:val="auto"/>
          <w:sz w:val="24"/>
          <w:highlight w:val="none"/>
        </w:rPr>
        <w:t>、乙方应自觉遵守安全生产有关法律、法规及规章制度。工人上岗前必须进行安全教育和卫生业务知识培训,并做好记录。</w:t>
      </w:r>
    </w:p>
    <w:p w14:paraId="2073F60F">
      <w:pPr>
        <w:spacing w:line="480" w:lineRule="atLeast"/>
        <w:ind w:firstLine="480"/>
        <w:jc w:val="left"/>
        <w:rPr>
          <w:rFonts w:hint="eastAsia" w:ascii="宋体" w:hAnsi="宋体" w:eastAsia="宋体" w:cs="仿宋"/>
          <w:color w:val="auto"/>
          <w:sz w:val="24"/>
          <w:highlight w:val="none"/>
        </w:rPr>
      </w:pPr>
      <w:r>
        <w:rPr>
          <w:rFonts w:hint="eastAsia" w:ascii="宋体" w:hAnsi="宋体" w:eastAsia="宋体" w:cs="仿宋"/>
          <w:color w:val="auto"/>
          <w:sz w:val="24"/>
          <w:highlight w:val="none"/>
          <w:lang w:val="en-US" w:eastAsia="zh-CN"/>
        </w:rPr>
        <w:t>9</w:t>
      </w:r>
      <w:r>
        <w:rPr>
          <w:rFonts w:hint="eastAsia" w:ascii="宋体" w:hAnsi="宋体" w:eastAsia="宋体" w:cs="仿宋"/>
          <w:color w:val="auto"/>
          <w:sz w:val="24"/>
          <w:highlight w:val="none"/>
        </w:rPr>
        <w:t>、盐城市大丰区新丰中学食堂管理条例附后，遵照执行考核。</w:t>
      </w:r>
    </w:p>
    <w:p w14:paraId="7BE3EF86">
      <w:pPr>
        <w:spacing w:line="480" w:lineRule="atLeast"/>
        <w:ind w:firstLine="482"/>
        <w:jc w:val="left"/>
        <w:rPr>
          <w:rFonts w:hint="eastAsia" w:ascii="宋体" w:hAnsi="宋体" w:eastAsia="宋体" w:cs="仿宋"/>
          <w:b/>
          <w:bCs/>
          <w:color w:val="auto"/>
          <w:sz w:val="24"/>
          <w:highlight w:val="none"/>
          <w:u w:val="single"/>
        </w:rPr>
      </w:pPr>
      <w:r>
        <w:rPr>
          <w:rFonts w:hint="eastAsia" w:ascii="宋体" w:hAnsi="宋体" w:eastAsia="宋体" w:cs="仿宋"/>
          <w:b/>
          <w:bCs/>
          <w:color w:val="auto"/>
          <w:sz w:val="24"/>
          <w:highlight w:val="none"/>
          <w:lang w:val="en-US" w:eastAsia="zh-CN"/>
        </w:rPr>
        <w:t>10</w:t>
      </w:r>
      <w:r>
        <w:rPr>
          <w:rFonts w:hint="eastAsia" w:ascii="宋体" w:hAnsi="宋体" w:eastAsia="宋体" w:cs="仿宋"/>
          <w:b/>
          <w:bCs/>
          <w:color w:val="auto"/>
          <w:sz w:val="24"/>
          <w:highlight w:val="none"/>
        </w:rPr>
        <w:t>、本项目所属行业划分为：</w:t>
      </w:r>
      <w:r>
        <w:rPr>
          <w:rFonts w:hint="eastAsia" w:ascii="宋体" w:hAnsi="宋体" w:eastAsia="宋体" w:cs="仿宋"/>
          <w:b/>
          <w:bCs/>
          <w:color w:val="auto"/>
          <w:sz w:val="24"/>
          <w:highlight w:val="none"/>
          <w:u w:val="single"/>
        </w:rPr>
        <w:t xml:space="preserve">  餐饮业  </w:t>
      </w:r>
    </w:p>
    <w:p w14:paraId="548EF6A5">
      <w:pPr>
        <w:spacing w:after="100" w:afterAutospacing="1" w:line="520" w:lineRule="exact"/>
        <w:jc w:val="center"/>
        <w:rPr>
          <w:rFonts w:hint="eastAsia" w:ascii="宋体" w:hAnsi="宋体" w:eastAsia="宋体" w:cs="宋体"/>
          <w:color w:val="auto"/>
          <w:highlight w:val="none"/>
          <w:lang w:val="en-US" w:eastAsia="zh-CN"/>
        </w:rPr>
      </w:pPr>
    </w:p>
    <w:p w14:paraId="3DE1578C">
      <w:pPr>
        <w:spacing w:after="100" w:afterAutospacing="1" w:line="520" w:lineRule="exact"/>
        <w:jc w:val="center"/>
        <w:rPr>
          <w:rFonts w:hint="eastAsia" w:ascii="宋体" w:hAnsi="宋体" w:eastAsia="宋体" w:cs="宋体"/>
          <w:color w:val="auto"/>
          <w:highlight w:val="none"/>
        </w:rPr>
      </w:pPr>
    </w:p>
    <w:p w14:paraId="7DD39977">
      <w:pPr>
        <w:spacing w:after="100" w:afterAutospacing="1" w:line="520" w:lineRule="exact"/>
        <w:jc w:val="center"/>
        <w:rPr>
          <w:rFonts w:hint="eastAsia" w:ascii="宋体" w:hAnsi="宋体" w:eastAsia="宋体" w:cs="宋体"/>
          <w:color w:val="auto"/>
          <w:highlight w:val="none"/>
        </w:rPr>
      </w:pPr>
    </w:p>
    <w:p w14:paraId="4A0EF4C9">
      <w:pPr>
        <w:spacing w:after="100" w:afterAutospacing="1" w:line="520" w:lineRule="exact"/>
        <w:ind w:firstLine="2409"/>
        <w:jc w:val="left"/>
        <w:rPr>
          <w:rFonts w:hint="eastAsia" w:cs="Times New Roman" w:asciiTheme="minorEastAsia" w:hAnsiTheme="minorEastAsia"/>
          <w:b/>
          <w:color w:val="auto"/>
          <w:sz w:val="30"/>
          <w:szCs w:val="30"/>
          <w:highlight w:val="none"/>
        </w:rPr>
      </w:pPr>
      <w:bookmarkStart w:id="186" w:name="OLE_LINK3"/>
      <w:r>
        <w:rPr>
          <w:rFonts w:hint="eastAsia" w:cs="Times New Roman" w:asciiTheme="minorEastAsia" w:hAnsiTheme="minorEastAsia"/>
          <w:b/>
          <w:color w:val="auto"/>
          <w:sz w:val="30"/>
          <w:szCs w:val="30"/>
          <w:highlight w:val="none"/>
        </w:rPr>
        <w:t>盐城市大丰区新丰中学食堂管理条例</w:t>
      </w:r>
      <w:bookmarkEnd w:id="186"/>
    </w:p>
    <w:p w14:paraId="5892CD9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为使学校食堂管理规范化、制度化，特制定如下条例：</w:t>
      </w:r>
    </w:p>
    <w:p w14:paraId="28ECB8E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1、食堂劳务承包人要严格执行《江苏省学校食堂基本卫生要求》，管理到位，切实搞好预防工作，杜绝发生中毒事故。</w:t>
      </w:r>
    </w:p>
    <w:p w14:paraId="42C818A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2、严禁非食堂工作人员进入食堂，</w:t>
      </w:r>
      <w:r>
        <w:rPr>
          <w:rFonts w:hint="eastAsia" w:ascii="宋体" w:hAnsi="宋体" w:eastAsia="宋体" w:cs="Times New Roman"/>
          <w:color w:val="auto"/>
          <w:sz w:val="24"/>
          <w:highlight w:val="none"/>
          <w:lang w:val="en-US" w:eastAsia="zh-CN"/>
        </w:rPr>
        <w:t>如有</w:t>
      </w:r>
      <w:r>
        <w:rPr>
          <w:rFonts w:hint="eastAsia" w:ascii="宋体" w:hAnsi="宋体" w:eastAsia="宋体" w:cs="Times New Roman"/>
          <w:color w:val="auto"/>
          <w:sz w:val="24"/>
          <w:highlight w:val="none"/>
        </w:rPr>
        <w:t>发现</w:t>
      </w:r>
      <w:r>
        <w:rPr>
          <w:rFonts w:hint="eastAsia" w:ascii="宋体" w:hAnsi="宋体" w:eastAsia="宋体" w:cs="Times New Roman"/>
          <w:color w:val="auto"/>
          <w:sz w:val="24"/>
          <w:highlight w:val="none"/>
          <w:lang w:val="en-US" w:eastAsia="zh-CN"/>
        </w:rPr>
        <w:t>乙方需承担每人次违约金20元</w:t>
      </w:r>
      <w:r>
        <w:rPr>
          <w:rFonts w:hint="eastAsia" w:ascii="宋体" w:hAnsi="宋体" w:eastAsia="宋体" w:cs="Times New Roman"/>
          <w:color w:val="auto"/>
          <w:sz w:val="24"/>
          <w:highlight w:val="none"/>
        </w:rPr>
        <w:t>。</w:t>
      </w:r>
    </w:p>
    <w:p w14:paraId="3D15952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3、食堂要保持各间各室物品存放有序，做好防蝇灭鼠工作，确保食品存放安全、卫生，按食品安全法有序摆放，若发生鼠害，</w:t>
      </w:r>
      <w:r>
        <w:rPr>
          <w:rFonts w:hint="eastAsia" w:ascii="宋体" w:hAnsi="宋体" w:eastAsia="宋体" w:cs="Times New Roman"/>
          <w:color w:val="auto"/>
          <w:sz w:val="24"/>
          <w:highlight w:val="none"/>
          <w:lang w:val="en-US" w:eastAsia="zh-CN"/>
        </w:rPr>
        <w:t>乙方需承担违约金100元/次</w:t>
      </w:r>
      <w:r>
        <w:rPr>
          <w:rFonts w:hint="eastAsia" w:ascii="宋体" w:hAnsi="宋体" w:eastAsia="宋体" w:cs="Times New Roman"/>
          <w:color w:val="auto"/>
          <w:sz w:val="24"/>
          <w:highlight w:val="none"/>
        </w:rPr>
        <w:t>，并责令立即清除。</w:t>
      </w:r>
    </w:p>
    <w:p w14:paraId="4B9ECA9D">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4、必须准备时准点开饭，无特殊情况而延误，</w:t>
      </w:r>
      <w:r>
        <w:rPr>
          <w:rFonts w:hint="eastAsia" w:ascii="宋体" w:hAnsi="宋体" w:eastAsia="宋体" w:cs="Times New Roman"/>
          <w:color w:val="auto"/>
          <w:sz w:val="24"/>
          <w:highlight w:val="none"/>
          <w:lang w:val="en-US" w:eastAsia="zh-CN"/>
        </w:rPr>
        <w:t>乙方需承担违约金1000元/次</w:t>
      </w:r>
      <w:r>
        <w:rPr>
          <w:rFonts w:hint="eastAsia" w:ascii="宋体" w:hAnsi="宋体" w:eastAsia="宋体" w:cs="Times New Roman"/>
          <w:color w:val="auto"/>
          <w:sz w:val="24"/>
          <w:highlight w:val="none"/>
        </w:rPr>
        <w:t>。</w:t>
      </w:r>
    </w:p>
    <w:p w14:paraId="72A0F736">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5、学校所购食品要求新鲜、无霉变腐败、无异味，并要索证。劳务承包人如发现食品安全问题及时向学校反映。</w:t>
      </w:r>
    </w:p>
    <w:p w14:paraId="5F51D9ED">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6、从业人员中必须持健康证上岗。发现无证上岗者，</w:t>
      </w:r>
      <w:r>
        <w:rPr>
          <w:rFonts w:hint="eastAsia" w:ascii="宋体" w:hAnsi="宋体" w:eastAsia="宋体" w:cs="Times New Roman"/>
          <w:color w:val="auto"/>
          <w:sz w:val="24"/>
          <w:highlight w:val="none"/>
          <w:lang w:val="en-US" w:eastAsia="zh-CN"/>
        </w:rPr>
        <w:t>乙方需承担每人次违约金200元</w:t>
      </w:r>
      <w:r>
        <w:rPr>
          <w:rFonts w:hint="eastAsia" w:ascii="宋体" w:hAnsi="宋体" w:eastAsia="宋体" w:cs="Times New Roman"/>
          <w:color w:val="auto"/>
          <w:sz w:val="24"/>
          <w:highlight w:val="none"/>
        </w:rPr>
        <w:t>并责令离岗。</w:t>
      </w:r>
    </w:p>
    <w:p w14:paraId="2257E2B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7、食堂工作人员上班期间一律穿着清洁工作衣帽，佩戴口罩，不得穿拖鞋。发现违反者每人罚20元。不得穿着工作衣帽上厕所，发现一次</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乙方需承担违约金20元</w:t>
      </w:r>
      <w:r>
        <w:rPr>
          <w:rFonts w:hint="eastAsia" w:ascii="宋体" w:hAnsi="宋体" w:eastAsia="宋体" w:cs="Times New Roman"/>
          <w:color w:val="auto"/>
          <w:sz w:val="24"/>
          <w:highlight w:val="none"/>
        </w:rPr>
        <w:t>。</w:t>
      </w:r>
    </w:p>
    <w:p w14:paraId="33C4336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8、所有的工作人员均要各司其职，严格把关。“违禁”、“变质”、“异味”食品一律不得采购，不得入库。粗加工人员要把好第一道验货关，剔除可能出问题食品，切配人员把好第二道验质关，可能出问题的食品坚决不用，烹饪人员一定要复验合格后再下锅。若发生食物中毒事故，实行责任追究制，追究承包人的所有责任，承担所有经济费用，直至追究其刑事责任。</w:t>
      </w:r>
    </w:p>
    <w:p w14:paraId="6FB8738F">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9、严禁在操作间和备餐间吸烟，发现吸烟者</w:t>
      </w:r>
      <w:r>
        <w:rPr>
          <w:rFonts w:hint="eastAsia" w:ascii="宋体" w:hAnsi="宋体" w:eastAsia="宋体" w:cs="Times New Roman"/>
          <w:color w:val="auto"/>
          <w:sz w:val="24"/>
          <w:highlight w:val="none"/>
          <w:lang w:val="en-US" w:eastAsia="zh-CN"/>
        </w:rPr>
        <w:t>乙方需承担每人次违约金100元</w:t>
      </w:r>
      <w:r>
        <w:rPr>
          <w:rFonts w:hint="eastAsia" w:ascii="宋体" w:hAnsi="宋体" w:eastAsia="宋体" w:cs="Times New Roman"/>
          <w:color w:val="auto"/>
          <w:sz w:val="24"/>
          <w:highlight w:val="none"/>
        </w:rPr>
        <w:t>。</w:t>
      </w:r>
    </w:p>
    <w:p w14:paraId="29DA9F6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10、各种食品必须遵循“拣净——洗净——切配”的操作顺序加工，并在规定的场所操作，所有切配好的食品均要盛入容器上架。若不按顺序</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不在指定场所操作</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洗净切好的食品不立即上架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rPr>
        <w:t>。打鸡蛋必须洗净——单个打入小碗——确认新鲜——倒入容器，否则</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rPr>
        <w:t>。</w:t>
      </w:r>
    </w:p>
    <w:p w14:paraId="7945F2E6">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11、食品放置严格按照生熟分开，成品与半成品分开，食品与杂物分开，有毒物品不得存放在食堂。生、熟食品必须有专用盛具存放（有标志），发现生熟不分、成品与半成品不分、食品杂物不分</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若发现食品与药品不分</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乙方需承担违约金1000元/次</w:t>
      </w:r>
      <w:r>
        <w:rPr>
          <w:rFonts w:hint="eastAsia" w:ascii="宋体" w:hAnsi="宋体" w:eastAsia="宋体" w:cs="Times New Roman"/>
          <w:color w:val="auto"/>
          <w:sz w:val="24"/>
          <w:highlight w:val="none"/>
        </w:rPr>
        <w:t>。若发现食堂内存放有毒药物，则中止承包合同，承包人承担全责任。生熟盛具混用，</w:t>
      </w:r>
      <w:r>
        <w:rPr>
          <w:rFonts w:hint="eastAsia" w:ascii="宋体" w:hAnsi="宋体" w:eastAsia="宋体" w:cs="Times New Roman"/>
          <w:color w:val="auto"/>
          <w:sz w:val="24"/>
          <w:highlight w:val="none"/>
          <w:lang w:val="en-US" w:eastAsia="zh-CN"/>
        </w:rPr>
        <w:t>乙方需承担每盛具违约金20元/次</w:t>
      </w:r>
      <w:r>
        <w:rPr>
          <w:rFonts w:hint="eastAsia" w:ascii="宋体" w:hAnsi="宋体" w:eastAsia="宋体" w:cs="Times New Roman"/>
          <w:color w:val="auto"/>
          <w:sz w:val="24"/>
          <w:highlight w:val="none"/>
        </w:rPr>
        <w:t>。</w:t>
      </w:r>
    </w:p>
    <w:p w14:paraId="2A5AA616">
      <w:pPr>
        <w:spacing w:line="360" w:lineRule="auto"/>
        <w:ind w:firstLine="48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12、盛有熟食的盛具不放在地上，如果放在地上</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rPr>
        <w:t>。隔日剩饭、菜一般不留用，确能留用的如纯肉、纯鸡腿等一定要将食物烧熟后，再由专锅烧透。否则乙方需承担每次每种违约金</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rPr>
        <w:t>0元</w:t>
      </w:r>
      <w:r>
        <w:rPr>
          <w:rFonts w:hint="eastAsia" w:ascii="宋体" w:hAnsi="宋体" w:eastAsia="宋体" w:cs="Times New Roman"/>
          <w:color w:val="auto"/>
          <w:sz w:val="24"/>
          <w:highlight w:val="none"/>
          <w:lang w:eastAsia="zh-CN"/>
        </w:rPr>
        <w:t>。</w:t>
      </w:r>
    </w:p>
    <w:p w14:paraId="11537C4A">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13、讲究烹饪技术，不烧生、焦的饭菜。做到色香味俱佳。生焦的饭菜一律不准出售（损失由劳务承包人承担），若强行出售，</w:t>
      </w:r>
      <w:r>
        <w:rPr>
          <w:rFonts w:hint="eastAsia" w:ascii="宋体" w:hAnsi="宋体" w:eastAsia="宋体" w:cs="Times New Roman"/>
          <w:color w:val="auto"/>
          <w:sz w:val="24"/>
          <w:szCs w:val="24"/>
          <w:highlight w:val="none"/>
          <w:lang w:val="en-US" w:eastAsia="zh-CN"/>
        </w:rPr>
        <w:t>乙方需承担违约金200元/次</w:t>
      </w:r>
      <w:r>
        <w:rPr>
          <w:rFonts w:hint="eastAsia" w:ascii="宋体" w:hAnsi="宋体" w:eastAsia="宋体" w:cs="Times New Roman"/>
          <w:color w:val="auto"/>
          <w:sz w:val="24"/>
          <w:szCs w:val="24"/>
          <w:highlight w:val="none"/>
        </w:rPr>
        <w:t>。</w:t>
      </w:r>
    </w:p>
    <w:p w14:paraId="01C4DA3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szCs w:val="24"/>
          <w:highlight w:val="none"/>
        </w:rPr>
        <w:t>14、做好食品留样工作。每次师生就餐所有食物均要留样，留样冰柜要上锁，同时做好留样记录。留样食品必须在冰柜中存放48小时，发现一次不留</w:t>
      </w:r>
      <w:r>
        <w:rPr>
          <w:rFonts w:hint="eastAsia" w:ascii="宋体" w:hAnsi="宋体" w:eastAsia="宋体" w:cs="Times New Roman"/>
          <w:color w:val="auto"/>
          <w:sz w:val="24"/>
          <w:highlight w:val="none"/>
        </w:rPr>
        <w:t>样</w:t>
      </w:r>
      <w:r>
        <w:rPr>
          <w:rFonts w:hint="eastAsia" w:ascii="宋体" w:hAnsi="宋体" w:eastAsia="宋体" w:cs="Times New Roman"/>
          <w:color w:val="auto"/>
          <w:sz w:val="24"/>
          <w:szCs w:val="24"/>
          <w:highlight w:val="none"/>
          <w:lang w:val="en-US" w:eastAsia="zh-CN"/>
        </w:rPr>
        <w:t>乙方需承担违约金50元</w:t>
      </w:r>
      <w:r>
        <w:rPr>
          <w:rFonts w:hint="eastAsia" w:ascii="宋体" w:hAnsi="宋体" w:eastAsia="宋体" w:cs="Times New Roman"/>
          <w:color w:val="auto"/>
          <w:sz w:val="24"/>
          <w:highlight w:val="none"/>
        </w:rPr>
        <w:t>。</w:t>
      </w:r>
    </w:p>
    <w:p w14:paraId="36991E6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15、“文明服务”始终贯穿到每个食堂员工思想中，并根据此进行食堂各项工作。食堂工作人员必须做到文明礼貌、热情周道、虚心接受正确的意见和建议。努力提高服务质量。及时做好饭菜的保暖工作，确保师生能吃上热饭菜。</w:t>
      </w:r>
    </w:p>
    <w:p w14:paraId="3F0BB6F2">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16、食堂必须全天保持“六面光”，上面蜘蛛网，窗台、墙面、地面、幕墙无圬垢，无痰痕，下水道路无隔日残羹。发现污垢、痰迹</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乙方需承担违约金50元/次</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下水道有隔日残羹</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rPr>
        <w:t>地面不干净</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乙方需承担违约金10元/次</w:t>
      </w:r>
      <w:r>
        <w:rPr>
          <w:rFonts w:hint="eastAsia" w:ascii="宋体" w:hAnsi="宋体" w:eastAsia="宋体" w:cs="Times New Roman"/>
          <w:color w:val="auto"/>
          <w:sz w:val="24"/>
          <w:highlight w:val="none"/>
        </w:rPr>
        <w:t>。</w:t>
      </w:r>
    </w:p>
    <w:p w14:paraId="25BD15D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17、各种餐具要在流动水池中洗净且消毒后放到保洁间架上。不在流动水池中清洗</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乙方需承担违约金30元/次</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不消毒</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乙方需承担违约金100元/次</w:t>
      </w:r>
      <w:r>
        <w:rPr>
          <w:rFonts w:hint="eastAsia" w:ascii="宋体" w:hAnsi="宋体" w:eastAsia="宋体" w:cs="Times New Roman"/>
          <w:color w:val="auto"/>
          <w:sz w:val="24"/>
          <w:highlight w:val="none"/>
        </w:rPr>
        <w:t>。炊具每顿都要消毒，菜刀、砧板随用随洗。开饭前发现餐具不干净的</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乙方需承担违约金100元/次</w:t>
      </w:r>
      <w:r>
        <w:rPr>
          <w:rFonts w:hint="eastAsia" w:ascii="宋体" w:hAnsi="宋体" w:eastAsia="宋体" w:cs="Times New Roman"/>
          <w:color w:val="auto"/>
          <w:sz w:val="24"/>
          <w:highlight w:val="none"/>
        </w:rPr>
        <w:t>，并责令洗净消毒后方可使用。绞肉机、窖缸等用后立即清洗干净，发现不清洗者</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乙方需承担每次每件违约金20元</w:t>
      </w:r>
      <w:r>
        <w:rPr>
          <w:rFonts w:hint="eastAsia" w:ascii="宋体" w:hAnsi="宋体" w:eastAsia="宋体" w:cs="Times New Roman"/>
          <w:color w:val="auto"/>
          <w:sz w:val="24"/>
          <w:highlight w:val="none"/>
        </w:rPr>
        <w:t>。</w:t>
      </w:r>
    </w:p>
    <w:p w14:paraId="6391A7E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18、师生用餐完毕后，餐桌凳要用干净毛巾及时复擦干净、地面清扫拖擦干净无污渍。地面擦不干净的</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桌凳不干净</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乙方需承担每桌每次违约金1元</w:t>
      </w:r>
      <w:r>
        <w:rPr>
          <w:rFonts w:hint="eastAsia" w:ascii="宋体" w:hAnsi="宋体" w:eastAsia="宋体" w:cs="Times New Roman"/>
          <w:color w:val="auto"/>
          <w:sz w:val="24"/>
          <w:highlight w:val="none"/>
        </w:rPr>
        <w:t>。</w:t>
      </w:r>
    </w:p>
    <w:p w14:paraId="770B9BBB">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19、饭箱必须保持良好的卫生状况，表面无灰垢，箱内无饭粒，无污垢。操作范围内的墙面、窗台、地面全天候保持清洁（除正常操作时）。饭、菜箱不卫生，</w:t>
      </w:r>
      <w:r>
        <w:rPr>
          <w:rFonts w:hint="eastAsia" w:ascii="宋体" w:hAnsi="宋体" w:eastAsia="宋体" w:cs="Times New Roman"/>
          <w:color w:val="auto"/>
          <w:sz w:val="24"/>
          <w:highlight w:val="none"/>
          <w:lang w:val="en-US" w:eastAsia="zh-CN"/>
        </w:rPr>
        <w:t>乙方需承担每箱每次违约金10元</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其它地方不干净</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乙方需承担每处每次违约金5元</w:t>
      </w:r>
      <w:r>
        <w:rPr>
          <w:rFonts w:hint="eastAsia" w:ascii="宋体" w:hAnsi="宋体" w:eastAsia="宋体" w:cs="Times New Roman"/>
          <w:color w:val="auto"/>
          <w:sz w:val="24"/>
          <w:highlight w:val="none"/>
        </w:rPr>
        <w:t>。</w:t>
      </w:r>
    </w:p>
    <w:p w14:paraId="17B3DCBF">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20、脱排油烟机表面、锅盖必须保持清洁，无油垢烟垢，否则</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rPr>
        <w:t>。</w:t>
      </w:r>
    </w:p>
    <w:p w14:paraId="3FB3CA5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21、防治苍蝇措施扎实。食堂绝对无苍蝇，发现苍蝇</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乙方需承担违约金5元/只</w:t>
      </w:r>
      <w:r>
        <w:rPr>
          <w:rFonts w:hint="eastAsia" w:ascii="宋体" w:hAnsi="宋体" w:eastAsia="宋体" w:cs="Times New Roman"/>
          <w:color w:val="auto"/>
          <w:sz w:val="24"/>
          <w:highlight w:val="none"/>
        </w:rPr>
        <w:t>，并责令扑灭后方可操作。</w:t>
      </w:r>
    </w:p>
    <w:p w14:paraId="59EFE6FF">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22、加强安全教育，把安全生产放在第一位。安全用电、预防火灾、安全操作，杜绝一切事故的发生，若发生安全事故，则由承包人负责，并视事故大小</w:t>
      </w:r>
      <w:r>
        <w:rPr>
          <w:rFonts w:hint="eastAsia" w:ascii="宋体" w:hAnsi="宋体" w:eastAsia="宋体" w:cs="Times New Roman"/>
          <w:color w:val="auto"/>
          <w:sz w:val="24"/>
          <w:highlight w:val="none"/>
          <w:lang w:val="en-US" w:eastAsia="zh-CN"/>
        </w:rPr>
        <w:t>由乙方承担违约金</w:t>
      </w:r>
      <w:r>
        <w:rPr>
          <w:rFonts w:hint="eastAsia" w:ascii="宋体" w:hAnsi="宋体" w:eastAsia="宋体" w:cs="Times New Roman"/>
          <w:color w:val="auto"/>
          <w:sz w:val="24"/>
          <w:highlight w:val="none"/>
        </w:rPr>
        <w:t>或停业等处罚。</w:t>
      </w:r>
    </w:p>
    <w:p w14:paraId="324405FF">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23、所辖清洁区必须保持干净，每天检查一次，不干净</w:t>
      </w:r>
      <w:r>
        <w:rPr>
          <w:rFonts w:hint="eastAsia" w:ascii="宋体" w:hAnsi="宋体" w:eastAsia="宋体" w:cs="Times New Roman"/>
          <w:color w:val="auto"/>
          <w:sz w:val="24"/>
          <w:highlight w:val="none"/>
          <w:lang w:val="en-US" w:eastAsia="zh-CN"/>
        </w:rPr>
        <w:t>,乙方需承担违约金20元/次</w:t>
      </w:r>
      <w:r>
        <w:rPr>
          <w:rFonts w:hint="eastAsia" w:ascii="宋体" w:hAnsi="宋体" w:eastAsia="宋体" w:cs="Times New Roman"/>
          <w:color w:val="auto"/>
          <w:sz w:val="24"/>
          <w:highlight w:val="none"/>
        </w:rPr>
        <w:t>。</w:t>
      </w:r>
    </w:p>
    <w:p w14:paraId="6ACC3E6D">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24、学校有权对违背《江苏省学校集体食堂基本卫生要求》的其他行为与事件进行处罚。</w:t>
      </w:r>
    </w:p>
    <w:p w14:paraId="06AE853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以上条例的</w:t>
      </w:r>
      <w:r>
        <w:rPr>
          <w:rFonts w:hint="eastAsia" w:ascii="宋体" w:hAnsi="宋体" w:eastAsia="宋体" w:cs="Times New Roman"/>
          <w:color w:val="auto"/>
          <w:sz w:val="24"/>
          <w:highlight w:val="none"/>
          <w:lang w:val="en-US" w:eastAsia="zh-CN"/>
        </w:rPr>
        <w:t>违约金</w:t>
      </w:r>
      <w:r>
        <w:rPr>
          <w:rFonts w:hint="eastAsia" w:ascii="宋体" w:hAnsi="宋体" w:eastAsia="宋体" w:cs="Times New Roman"/>
          <w:color w:val="auto"/>
          <w:sz w:val="24"/>
          <w:highlight w:val="none"/>
        </w:rPr>
        <w:t>均</w:t>
      </w:r>
      <w:r>
        <w:rPr>
          <w:rFonts w:hint="eastAsia" w:ascii="宋体" w:hAnsi="宋体" w:eastAsia="宋体" w:cs="Times New Roman"/>
          <w:color w:val="auto"/>
          <w:sz w:val="24"/>
          <w:highlight w:val="none"/>
          <w:lang w:val="en-US" w:eastAsia="zh-CN"/>
        </w:rPr>
        <w:t>由</w:t>
      </w:r>
      <w:r>
        <w:rPr>
          <w:rFonts w:hint="eastAsia" w:ascii="宋体" w:hAnsi="宋体" w:eastAsia="宋体" w:cs="Times New Roman"/>
          <w:color w:val="auto"/>
          <w:sz w:val="24"/>
          <w:highlight w:val="none"/>
        </w:rPr>
        <w:t>劳务承包人</w:t>
      </w:r>
      <w:r>
        <w:rPr>
          <w:rFonts w:hint="eastAsia" w:ascii="宋体" w:hAnsi="宋体" w:eastAsia="宋体" w:cs="Times New Roman"/>
          <w:color w:val="auto"/>
          <w:sz w:val="24"/>
          <w:highlight w:val="none"/>
          <w:lang w:val="en-US" w:eastAsia="zh-CN"/>
        </w:rPr>
        <w:t>承担</w:t>
      </w:r>
      <w:r>
        <w:rPr>
          <w:rFonts w:hint="eastAsia" w:ascii="宋体" w:hAnsi="宋体" w:eastAsia="宋体" w:cs="Times New Roman"/>
          <w:color w:val="auto"/>
          <w:sz w:val="24"/>
          <w:highlight w:val="none"/>
        </w:rPr>
        <w:t>。</w:t>
      </w:r>
    </w:p>
    <w:p w14:paraId="7D97F72A">
      <w:pPr>
        <w:pStyle w:val="33"/>
        <w:spacing w:beforeAutospacing="0" w:afterAutospacing="0" w:line="360" w:lineRule="auto"/>
        <w:jc w:val="both"/>
        <w:rPr>
          <w:rFonts w:hint="eastAsia" w:ascii="宋体" w:hAnsi="宋体" w:eastAsia="宋体" w:cs="宋体"/>
          <w:color w:val="auto"/>
          <w:highlight w:val="none"/>
        </w:rPr>
      </w:pPr>
    </w:p>
    <w:p w14:paraId="1CC5D745">
      <w:pPr>
        <w:pStyle w:val="33"/>
        <w:spacing w:beforeAutospacing="0" w:afterAutospacing="0" w:line="360" w:lineRule="auto"/>
        <w:jc w:val="both"/>
        <w:rPr>
          <w:rFonts w:hint="eastAsia" w:ascii="宋体" w:hAnsi="宋体" w:eastAsia="宋体" w:cs="宋体"/>
          <w:color w:val="auto"/>
          <w:highlight w:val="none"/>
        </w:rPr>
      </w:pPr>
    </w:p>
    <w:p w14:paraId="72739ECF">
      <w:pPr>
        <w:rPr>
          <w:rFonts w:hint="eastAsia" w:ascii="黑体" w:hAnsi="宋体" w:eastAsia="黑体" w:cs="黑体"/>
          <w:b/>
          <w:color w:val="auto"/>
          <w:sz w:val="44"/>
          <w:szCs w:val="44"/>
          <w:highlight w:val="none"/>
        </w:rPr>
      </w:pPr>
      <w:bookmarkStart w:id="187" w:name="_Toc120614281"/>
      <w:r>
        <w:rPr>
          <w:rFonts w:hint="eastAsia" w:ascii="黑体" w:hAnsi="宋体" w:eastAsia="黑体" w:cs="黑体"/>
          <w:b/>
          <w:color w:val="auto"/>
          <w:sz w:val="44"/>
          <w:szCs w:val="44"/>
          <w:highlight w:val="none"/>
        </w:rPr>
        <w:br w:type="page"/>
      </w:r>
    </w:p>
    <w:p w14:paraId="3568D8F1">
      <w:pPr>
        <w:pStyle w:val="33"/>
        <w:spacing w:beforeAutospacing="0" w:afterAutospacing="0" w:line="360" w:lineRule="auto"/>
        <w:ind w:right="840"/>
        <w:jc w:val="center"/>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第五章  评标方法与评标标准</w:t>
      </w:r>
    </w:p>
    <w:p w14:paraId="4C0653E1">
      <w:pPr>
        <w:pStyle w:val="33"/>
        <w:spacing w:beforeAutospacing="0" w:afterAutospacing="0" w:line="360" w:lineRule="auto"/>
        <w:jc w:val="both"/>
        <w:rPr>
          <w:color w:val="auto"/>
          <w:highlight w:val="none"/>
        </w:rPr>
      </w:pPr>
      <w:r>
        <w:rPr>
          <w:color w:val="auto"/>
          <w:highlight w:val="none"/>
        </w:rPr>
        <w:t> </w:t>
      </w:r>
    </w:p>
    <w:p w14:paraId="6639A52F">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3130B3A9">
      <w:pPr>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法，</w:t>
      </w:r>
      <w:r>
        <w:rPr>
          <w:rFonts w:hint="eastAsia" w:ascii="宋体" w:hAnsi="宋体" w:eastAsia="宋体" w:cs="宋体"/>
          <w:color w:val="auto"/>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664EAE07">
      <w:pPr>
        <w:pStyle w:val="33"/>
        <w:spacing w:before="120" w:beforeAutospacing="0" w:after="120" w:afterAutospacing="0" w:line="360" w:lineRule="auto"/>
        <w:ind w:firstLine="441"/>
        <w:rPr>
          <w:rFonts w:hint="eastAsia" w:ascii="宋体" w:hAnsi="宋体" w:eastAsia="宋体" w:cs="宋体"/>
          <w:color w:val="auto"/>
          <w:highlight w:val="none"/>
        </w:rPr>
      </w:pPr>
      <w:r>
        <w:rPr>
          <w:rFonts w:hint="eastAsia" w:ascii="宋体" w:hAnsi="宋体" w:eastAsia="宋体" w:cs="宋体"/>
          <w:b/>
          <w:color w:val="auto"/>
          <w:highlight w:val="none"/>
        </w:rPr>
        <w:t>政府采购政策功能落实</w:t>
      </w:r>
    </w:p>
    <w:p w14:paraId="76765A30">
      <w:pPr>
        <w:pStyle w:val="33"/>
        <w:spacing w:before="120" w:beforeAutospacing="0" w:after="12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1、小微型企业价格扣除</w:t>
      </w:r>
    </w:p>
    <w:p w14:paraId="4D9D96AB">
      <w:pPr>
        <w:pStyle w:val="232"/>
        <w:ind w:firstLine="360"/>
        <w:rPr>
          <w:rFonts w:hint="eastAsia" w:ascii="宋体" w:hAnsi="宋体" w:eastAsia="宋体" w:cs="宋体"/>
          <w:color w:val="auto"/>
          <w:highlight w:val="none"/>
        </w:rPr>
      </w:pPr>
      <w:r>
        <w:rPr>
          <w:rFonts w:hint="eastAsia" w:ascii="宋体" w:hAnsi="宋体" w:eastAsia="宋体" w:cs="宋体"/>
          <w:color w:val="auto"/>
          <w:highlight w:val="none"/>
        </w:rPr>
        <w:t>（1）本项目若不专门面向中小企业采购，对符合规定的小型和微型企业报价给予20%的扣除价格，用扣除后的价格参与评审；若专门面向中小企业采购，不再对小型和微型企业报价给予价格扣除。</w:t>
      </w:r>
    </w:p>
    <w:p w14:paraId="4FE728D0">
      <w:pPr>
        <w:pStyle w:val="33"/>
        <w:spacing w:before="120" w:beforeAutospacing="0" w:after="120" w:afterAutospacing="0" w:line="360" w:lineRule="auto"/>
        <w:ind w:firstLine="360"/>
        <w:rPr>
          <w:rFonts w:hint="eastAsia" w:ascii="宋体" w:hAnsi="宋体" w:eastAsia="宋体" w:cs="宋体"/>
          <w:color w:val="auto"/>
          <w:highlight w:val="none"/>
        </w:rPr>
      </w:pPr>
      <w:r>
        <w:rPr>
          <w:rFonts w:hint="eastAsia" w:ascii="宋体" w:hAnsi="宋体" w:eastAsia="宋体" w:cs="宋体"/>
          <w:color w:val="auto"/>
          <w:highlight w:val="none"/>
        </w:rPr>
        <w:t>（2）供应商需按照采购文件的要求提供相应的《中小企业声明函》。</w:t>
      </w:r>
    </w:p>
    <w:p w14:paraId="3DD65055">
      <w:pPr>
        <w:pStyle w:val="33"/>
        <w:spacing w:before="120" w:beforeAutospacing="0" w:after="120" w:afterAutospacing="0" w:line="360" w:lineRule="auto"/>
        <w:ind w:firstLine="360"/>
        <w:rPr>
          <w:rFonts w:hint="eastAsia"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61D6153C">
      <w:pPr>
        <w:pStyle w:val="33"/>
        <w:spacing w:before="120" w:beforeAutospacing="0" w:after="12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2、残疾人福利单位价格扣除</w:t>
      </w:r>
    </w:p>
    <w:p w14:paraId="3FEB9045">
      <w:pPr>
        <w:pStyle w:val="33"/>
        <w:spacing w:before="120" w:beforeAutospacing="0" w:after="120" w:afterAutospacing="0" w:line="360" w:lineRule="auto"/>
        <w:ind w:left="120" w:firstLine="360"/>
        <w:rPr>
          <w:rFonts w:hint="eastAsia" w:ascii="宋体" w:hAnsi="宋体" w:eastAsia="宋体" w:cs="宋体"/>
          <w:color w:val="auto"/>
          <w:highlight w:val="none"/>
          <w:u w:val="single"/>
        </w:rPr>
      </w:pPr>
      <w:r>
        <w:rPr>
          <w:rFonts w:hint="eastAsia" w:ascii="宋体" w:hAnsi="宋体" w:eastAsia="宋体" w:cs="宋体"/>
          <w:color w:val="auto"/>
          <w:highlight w:val="none"/>
        </w:rPr>
        <w:t>（1）本项目对残疾人福利性单位视同小型、微型企业，给予</w:t>
      </w:r>
      <w:r>
        <w:rPr>
          <w:rFonts w:hint="eastAsia" w:ascii="宋体" w:hAnsi="宋体" w:eastAsia="宋体" w:cs="宋体"/>
          <w:color w:val="auto"/>
          <w:highlight w:val="none"/>
          <w:u w:val="single"/>
        </w:rPr>
        <w:t>20%的价格扣除。</w:t>
      </w:r>
    </w:p>
    <w:p w14:paraId="6DB9817D">
      <w:pPr>
        <w:pStyle w:val="33"/>
        <w:spacing w:before="120" w:beforeAutospacing="0" w:after="120" w:afterAutospacing="0" w:line="360" w:lineRule="auto"/>
        <w:ind w:left="120" w:firstLine="360"/>
        <w:rPr>
          <w:rFonts w:hint="eastAsia"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2EAA1DAD">
      <w:pPr>
        <w:pStyle w:val="33"/>
        <w:spacing w:before="120" w:beforeAutospacing="0" w:after="120" w:afterAutospacing="0" w:line="360" w:lineRule="auto"/>
        <w:ind w:left="120" w:firstLine="360"/>
        <w:rPr>
          <w:rFonts w:hint="eastAsia"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6C452F24">
      <w:pPr>
        <w:pStyle w:val="33"/>
        <w:spacing w:before="120" w:beforeAutospacing="0" w:after="12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3、监狱和戒毒企业价格扣除</w:t>
      </w:r>
    </w:p>
    <w:p w14:paraId="55AB340C">
      <w:pPr>
        <w:pStyle w:val="33"/>
        <w:spacing w:before="120" w:beforeAutospacing="0" w:after="120" w:afterAutospacing="0" w:line="360" w:lineRule="auto"/>
        <w:ind w:left="120" w:firstLine="360"/>
        <w:rPr>
          <w:rFonts w:hint="eastAsia" w:ascii="宋体" w:hAnsi="宋体" w:eastAsia="宋体" w:cs="宋体"/>
          <w:color w:val="auto"/>
          <w:highlight w:val="none"/>
          <w:u w:val="single"/>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20%的价格扣除。</w:t>
      </w:r>
    </w:p>
    <w:p w14:paraId="2C6718CD">
      <w:pPr>
        <w:pStyle w:val="33"/>
        <w:spacing w:before="120" w:beforeAutospacing="0" w:after="12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0670C9A1">
      <w:pPr>
        <w:pStyle w:val="33"/>
        <w:spacing w:before="120" w:beforeAutospacing="0" w:after="12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（3）监狱企业标准请参照《关于政府采购支持监狱企业发展有关问题的通知》（财库〔2014〕68号）。</w:t>
      </w:r>
    </w:p>
    <w:p w14:paraId="681A2B44">
      <w:pPr>
        <w:pStyle w:val="33"/>
        <w:spacing w:before="120" w:beforeAutospacing="0" w:after="12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2131CD68">
      <w:pPr>
        <w:pStyle w:val="33"/>
        <w:spacing w:before="120" w:beforeAutospacing="0" w:after="12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6%</w:t>
      </w:r>
      <w:r>
        <w:rPr>
          <w:rFonts w:hint="eastAsia" w:ascii="宋体" w:hAnsi="宋体" w:eastAsia="宋体" w:cs="宋体"/>
          <w:color w:val="auto"/>
          <w:highlight w:val="none"/>
        </w:rPr>
        <w:t>的价格扣除，用扣除后的价格参与评审。</w:t>
      </w:r>
    </w:p>
    <w:p w14:paraId="1FC79ED0">
      <w:pPr>
        <w:pStyle w:val="33"/>
        <w:spacing w:before="120" w:beforeAutospacing="0" w:after="120" w:afterAutospacing="0" w:line="360" w:lineRule="auto"/>
        <w:ind w:left="120" w:firstLine="360"/>
        <w:rPr>
          <w:rFonts w:hint="eastAsia" w:ascii="宋体" w:hAnsi="宋体" w:eastAsia="宋体" w:cs="宋体"/>
          <w:color w:val="auto"/>
          <w:highlight w:val="none"/>
          <w:u w:val="single"/>
        </w:rPr>
      </w:pPr>
      <w:r>
        <w:rPr>
          <w:rFonts w:hint="eastAsia" w:ascii="宋体" w:hAnsi="宋体" w:eastAsia="宋体" w:cs="宋体"/>
          <w:color w:val="auto"/>
          <w:highlight w:val="none"/>
        </w:rPr>
        <w:t>6、联合体各方均为小型、微型企业（残疾人福利单位、监狱企业）的，联合体享受</w:t>
      </w:r>
      <w:r>
        <w:rPr>
          <w:rFonts w:hint="eastAsia" w:ascii="宋体" w:hAnsi="宋体" w:eastAsia="宋体" w:cs="宋体"/>
          <w:color w:val="auto"/>
          <w:highlight w:val="none"/>
          <w:u w:val="single"/>
        </w:rPr>
        <w:t>20%的价格扣除。</w:t>
      </w:r>
    </w:p>
    <w:p w14:paraId="49C7CD4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6F80853C">
      <w:pPr>
        <w:spacing w:line="360" w:lineRule="auto"/>
        <w:rPr>
          <w:rFonts w:hint="eastAsia" w:ascii="宋体" w:hAnsi="宋体" w:eastAsia="宋体" w:cs="宋体"/>
          <w:color w:val="auto"/>
          <w:sz w:val="24"/>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sz w:val="24"/>
          <w:highlight w:val="none"/>
        </w:rPr>
        <w:t xml:space="preserve">  8、供应商对于投标产品的商品包装、快递包装应按照《关于印发《商品包装政府采购需求标准（试行）》、《快递包装政府采购需求标准（试行）》的通知》（财办库〔2020〕123号）执行。</w:t>
      </w:r>
    </w:p>
    <w:p w14:paraId="712705DA">
      <w:pPr>
        <w:spacing w:line="360" w:lineRule="auto"/>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t>9、本文件中若涉及到数据中心采购，应按照《&lt;绿色数据中心政府采购需求标准（试行）&gt;的通知》（财库〔2023〕7号）执行。</w:t>
      </w:r>
    </w:p>
    <w:p w14:paraId="5EA843CA">
      <w:pPr>
        <w:spacing w:line="360" w:lineRule="auto"/>
        <w:rPr>
          <w:rFonts w:hint="eastAsia" w:ascii="宋体" w:hAnsi="宋体" w:cs="Courier New"/>
          <w:b/>
          <w:bCs/>
          <w:color w:val="auto"/>
          <w:sz w:val="24"/>
          <w:highlight w:val="none"/>
        </w:rPr>
      </w:pPr>
      <w:r>
        <w:rPr>
          <w:rFonts w:hint="eastAsia" w:ascii="宋体" w:hAnsi="宋体" w:cs="Courier New"/>
          <w:b/>
          <w:bCs/>
          <w:color w:val="auto"/>
          <w:sz w:val="24"/>
          <w:highlight w:val="none"/>
        </w:rPr>
        <w:t>二、评标标准</w:t>
      </w:r>
    </w:p>
    <w:p w14:paraId="2D7246F8">
      <w:pPr>
        <w:spacing w:line="360" w:lineRule="auto"/>
        <w:rPr>
          <w:rFonts w:hint="eastAsia" w:ascii="宋体" w:hAnsi="宋体" w:cs="Courier New"/>
          <w:bCs/>
          <w:color w:val="auto"/>
          <w:sz w:val="24"/>
          <w:highlight w:val="none"/>
        </w:rPr>
      </w:pPr>
      <w:r>
        <w:rPr>
          <w:rFonts w:hint="eastAsia" w:ascii="宋体" w:hAnsi="宋体" w:cs="Courier New"/>
          <w:bCs/>
          <w:color w:val="auto"/>
          <w:sz w:val="24"/>
          <w:highlight w:val="none"/>
        </w:rPr>
        <w:t>本项目评分总分值为</w:t>
      </w:r>
      <w:r>
        <w:rPr>
          <w:rFonts w:ascii="宋体" w:hAnsi="宋体" w:cs="Courier New"/>
          <w:bCs/>
          <w:color w:val="auto"/>
          <w:sz w:val="24"/>
          <w:highlight w:val="none"/>
        </w:rPr>
        <w:t>100</w:t>
      </w:r>
      <w:r>
        <w:rPr>
          <w:rFonts w:hint="eastAsia" w:ascii="宋体" w:hAnsi="宋体" w:cs="Courier New"/>
          <w:bCs/>
          <w:color w:val="auto"/>
          <w:sz w:val="24"/>
          <w:highlight w:val="none"/>
        </w:rPr>
        <w:t>分。</w:t>
      </w:r>
    </w:p>
    <w:tbl>
      <w:tblPr>
        <w:tblStyle w:val="38"/>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348"/>
        <w:gridCol w:w="709"/>
        <w:gridCol w:w="7039"/>
      </w:tblGrid>
      <w:tr w14:paraId="3B69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42" w:type="dxa"/>
            <w:noWrap w:val="0"/>
            <w:vAlign w:val="center"/>
          </w:tcPr>
          <w:p w14:paraId="0DDFC617">
            <w:pPr>
              <w:spacing w:line="440" w:lineRule="exact"/>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序号</w:t>
            </w:r>
          </w:p>
        </w:tc>
        <w:tc>
          <w:tcPr>
            <w:tcW w:w="1348" w:type="dxa"/>
            <w:noWrap w:val="0"/>
            <w:vAlign w:val="center"/>
          </w:tcPr>
          <w:p w14:paraId="6490B955">
            <w:pPr>
              <w:spacing w:line="440" w:lineRule="exact"/>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评分因素</w:t>
            </w:r>
          </w:p>
          <w:p w14:paraId="45A2C418">
            <w:pPr>
              <w:spacing w:line="440" w:lineRule="exact"/>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及权重</w:t>
            </w:r>
          </w:p>
        </w:tc>
        <w:tc>
          <w:tcPr>
            <w:tcW w:w="709" w:type="dxa"/>
            <w:noWrap w:val="0"/>
            <w:vAlign w:val="center"/>
          </w:tcPr>
          <w:p w14:paraId="4DBC6E2C">
            <w:pPr>
              <w:spacing w:line="440" w:lineRule="exact"/>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分值</w:t>
            </w:r>
          </w:p>
        </w:tc>
        <w:tc>
          <w:tcPr>
            <w:tcW w:w="7039" w:type="dxa"/>
            <w:noWrap w:val="0"/>
            <w:vAlign w:val="center"/>
          </w:tcPr>
          <w:p w14:paraId="37C6171E">
            <w:pPr>
              <w:spacing w:line="440" w:lineRule="exact"/>
              <w:jc w:val="center"/>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评分标准</w:t>
            </w:r>
          </w:p>
        </w:tc>
      </w:tr>
      <w:tr w14:paraId="2393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jc w:val="center"/>
        </w:trPr>
        <w:tc>
          <w:tcPr>
            <w:tcW w:w="742" w:type="dxa"/>
            <w:noWrap w:val="0"/>
            <w:vAlign w:val="center"/>
          </w:tcPr>
          <w:p w14:paraId="24B25010">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348" w:type="dxa"/>
            <w:noWrap w:val="0"/>
            <w:vAlign w:val="center"/>
          </w:tcPr>
          <w:p w14:paraId="15DB4258">
            <w:pPr>
              <w:spacing w:line="440" w:lineRule="exact"/>
              <w:jc w:val="center"/>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价格</w:t>
            </w:r>
          </w:p>
        </w:tc>
        <w:tc>
          <w:tcPr>
            <w:tcW w:w="709" w:type="dxa"/>
            <w:noWrap w:val="0"/>
            <w:vAlign w:val="center"/>
          </w:tcPr>
          <w:p w14:paraId="22059606">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40</w:t>
            </w:r>
          </w:p>
        </w:tc>
        <w:tc>
          <w:tcPr>
            <w:tcW w:w="7039" w:type="dxa"/>
            <w:noWrap w:val="0"/>
            <w:vAlign w:val="center"/>
          </w:tcPr>
          <w:p w14:paraId="0EFC2762">
            <w:pPr>
              <w:spacing w:line="44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价格分采用低价优先法计算，即满足招标文件要求且投标报价最低的为评标基准价，其价格分为满分。其他供应商的价格分统一按下列公式计算：报价得分=（评标基准价/投标报价）×40，价格分保留两位小数。</w:t>
            </w:r>
          </w:p>
          <w:p w14:paraId="77319882">
            <w:pPr>
              <w:spacing w:line="440" w:lineRule="exact"/>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评审过程中出现下列情形之一的，</w:t>
            </w:r>
            <w:r>
              <w:rPr>
                <w:rFonts w:hint="eastAsia" w:ascii="仿宋" w:hAnsi="仿宋" w:eastAsia="仿宋" w:cs="仿宋"/>
                <w:b/>
                <w:bCs/>
                <w:color w:val="auto"/>
                <w:sz w:val="24"/>
                <w:highlight w:val="none"/>
              </w:rPr>
              <w:t>评标</w:t>
            </w:r>
            <w:r>
              <w:rPr>
                <w:rFonts w:hint="eastAsia" w:ascii="仿宋" w:hAnsi="仿宋" w:eastAsia="仿宋" w:cs="仿宋"/>
                <w:b/>
                <w:bCs/>
                <w:color w:val="auto"/>
                <w:sz w:val="24"/>
                <w:highlight w:val="none"/>
                <w:lang w:val="zh-CN"/>
              </w:rPr>
              <w:t>委员会</w:t>
            </w:r>
            <w:r>
              <w:rPr>
                <w:rFonts w:hint="eastAsia" w:ascii="仿宋" w:hAnsi="仿宋" w:eastAsia="仿宋" w:cs="仿宋"/>
                <w:b/>
                <w:bCs/>
                <w:color w:val="auto"/>
                <w:sz w:val="24"/>
                <w:highlight w:val="none"/>
              </w:rPr>
              <w:t>将</w:t>
            </w:r>
            <w:r>
              <w:rPr>
                <w:rFonts w:hint="eastAsia" w:ascii="仿宋" w:hAnsi="仿宋" w:eastAsia="仿宋" w:cs="仿宋"/>
                <w:b/>
                <w:bCs/>
                <w:color w:val="auto"/>
                <w:sz w:val="24"/>
                <w:highlight w:val="none"/>
                <w:lang w:val="zh-CN"/>
              </w:rPr>
              <w:t>启动异常低价投标（响应）审查程序：</w:t>
            </w:r>
          </w:p>
          <w:p w14:paraId="507499C5">
            <w:pPr>
              <w:spacing w:line="44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⑴投标（响应）报价低于采购项目预算50%的，即投标（响应）报价&lt;采购项目预算×50%；⑵投标（响应）报价低于采购项目最高限价45%的，即投标（响应）报价&lt;采购项目最高限价×45%；⑶评</w:t>
            </w:r>
            <w:r>
              <w:rPr>
                <w:rFonts w:hint="eastAsia" w:ascii="仿宋" w:hAnsi="仿宋" w:eastAsia="仿宋" w:cs="仿宋"/>
                <w:color w:val="auto"/>
                <w:sz w:val="24"/>
                <w:highlight w:val="none"/>
              </w:rPr>
              <w:t>标</w:t>
            </w:r>
            <w:r>
              <w:rPr>
                <w:rFonts w:hint="eastAsia" w:ascii="仿宋" w:hAnsi="仿宋" w:eastAsia="仿宋" w:cs="仿宋"/>
                <w:color w:val="auto"/>
                <w:sz w:val="24"/>
                <w:highlight w:val="none"/>
                <w:lang w:val="zh-CN"/>
              </w:rPr>
              <w:t>委员会认定的供应商报价过低、有可能影响产品质量或者不能诚信履约的其他情形。</w:t>
            </w:r>
          </w:p>
          <w:p w14:paraId="58C1DBA4">
            <w:pPr>
              <w:spacing w:line="440" w:lineRule="exact"/>
              <w:rPr>
                <w:rFonts w:hint="eastAsia" w:ascii="仿宋" w:hAnsi="仿宋" w:eastAsia="仿宋" w:cs="仿宋"/>
                <w:color w:val="auto"/>
                <w:sz w:val="24"/>
                <w:highlight w:val="none"/>
                <w:lang w:val="zh-CN"/>
              </w:rPr>
            </w:pPr>
            <w:r>
              <w:rPr>
                <w:rFonts w:hint="eastAsia" w:ascii="仿宋" w:hAnsi="仿宋" w:eastAsia="仿宋" w:cs="仿宋"/>
                <w:b/>
                <w:bCs/>
                <w:color w:val="auto"/>
                <w:sz w:val="24"/>
                <w:highlight w:val="none"/>
                <w:lang w:val="zh-CN"/>
              </w:rPr>
              <w:t>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p>
        </w:tc>
      </w:tr>
      <w:tr w14:paraId="6964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jc w:val="center"/>
        </w:trPr>
        <w:tc>
          <w:tcPr>
            <w:tcW w:w="742" w:type="dxa"/>
            <w:noWrap w:val="0"/>
            <w:vAlign w:val="center"/>
          </w:tcPr>
          <w:p w14:paraId="187A368C">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348" w:type="dxa"/>
            <w:noWrap w:val="0"/>
            <w:vAlign w:val="center"/>
          </w:tcPr>
          <w:p w14:paraId="0870CF9A">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业绩</w:t>
            </w:r>
          </w:p>
        </w:tc>
        <w:tc>
          <w:tcPr>
            <w:tcW w:w="709" w:type="dxa"/>
            <w:noWrap w:val="0"/>
            <w:vAlign w:val="center"/>
          </w:tcPr>
          <w:p w14:paraId="063CA18A">
            <w:pPr>
              <w:spacing w:line="440" w:lineRule="exact"/>
              <w:jc w:val="cente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w:t>
            </w:r>
          </w:p>
        </w:tc>
        <w:tc>
          <w:tcPr>
            <w:tcW w:w="7039" w:type="dxa"/>
            <w:noWrap w:val="0"/>
            <w:vAlign w:val="center"/>
          </w:tcPr>
          <w:p w14:paraId="1C0CF6FA">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投标人需提供2021年1月1日以后的类似项目业绩证明，每提供一份业绩得2分，最多得4分。时间以合同签订时间为准。</w:t>
            </w:r>
          </w:p>
          <w:p w14:paraId="559E6220">
            <w:pPr>
              <w:spacing w:line="440" w:lineRule="exact"/>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w:t>注：投标人须提供业绩</w:t>
            </w:r>
            <w:r>
              <w:rPr>
                <w:rFonts w:hint="eastAsia" w:ascii="仿宋" w:hAnsi="仿宋" w:eastAsia="仿宋" w:cs="仿宋"/>
                <w:b/>
                <w:bCs/>
                <w:color w:val="auto"/>
                <w:sz w:val="24"/>
                <w:highlight w:val="none"/>
                <w:lang w:val="en-US" w:eastAsia="zh-CN"/>
              </w:rPr>
              <w:t>材料</w:t>
            </w:r>
            <w:r>
              <w:rPr>
                <w:rFonts w:hint="eastAsia" w:ascii="仿宋" w:hAnsi="仿宋" w:eastAsia="仿宋" w:cs="仿宋"/>
                <w:b/>
                <w:bCs/>
                <w:color w:val="auto"/>
                <w:sz w:val="24"/>
                <w:highlight w:val="none"/>
              </w:rPr>
              <w:t>加盖单位公章，未提供或提供不符合要求的不得分。</w:t>
            </w:r>
          </w:p>
        </w:tc>
      </w:tr>
      <w:tr w14:paraId="0EA0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42" w:type="dxa"/>
            <w:noWrap w:val="0"/>
            <w:vAlign w:val="center"/>
          </w:tcPr>
          <w:p w14:paraId="1C2990A5">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348" w:type="dxa"/>
            <w:noWrap w:val="0"/>
            <w:vAlign w:val="center"/>
          </w:tcPr>
          <w:p w14:paraId="51369485">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体系认证</w:t>
            </w:r>
          </w:p>
        </w:tc>
        <w:tc>
          <w:tcPr>
            <w:tcW w:w="709" w:type="dxa"/>
            <w:noWrap w:val="0"/>
            <w:vAlign w:val="center"/>
          </w:tcPr>
          <w:p w14:paraId="544DB425">
            <w:pPr>
              <w:spacing w:line="440" w:lineRule="exact"/>
              <w:jc w:val="center"/>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val="en-US" w:eastAsia="zh-CN"/>
              </w:rPr>
              <w:t>4</w:t>
            </w:r>
          </w:p>
        </w:tc>
        <w:tc>
          <w:tcPr>
            <w:tcW w:w="7039" w:type="dxa"/>
            <w:noWrap w:val="0"/>
            <w:vAlign w:val="center"/>
          </w:tcPr>
          <w:p w14:paraId="0DDE1B4F">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投标人具有有效的质量管理体系认证证书的得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p w14:paraId="74B5875B">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投标人具有有效的环境管理体系认证证书的得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p w14:paraId="76CE1A7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投标人具有有效的职业安全健康管理体系认证证书的得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p w14:paraId="221AE8ED">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投标人具有有效的食品安全管理体系认证证书的得</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p w14:paraId="3D075FCB">
            <w:pPr>
              <w:spacing w:line="440" w:lineRule="exact"/>
              <w:rPr>
                <w:rFonts w:hint="eastAsia" w:ascii="仿宋" w:hAnsi="仿宋" w:eastAsia="仿宋" w:cs="仿宋"/>
                <w:b/>
                <w:bCs/>
                <w:color w:val="auto"/>
                <w:sz w:val="24"/>
                <w:highlight w:val="none"/>
              </w:rPr>
            </w:pPr>
            <w:bookmarkStart w:id="188" w:name="OLE_LINK8"/>
            <w:r>
              <w:rPr>
                <w:rFonts w:hint="eastAsia" w:ascii="仿宋" w:hAnsi="仿宋" w:eastAsia="仿宋" w:cs="仿宋"/>
                <w:b/>
                <w:bCs/>
                <w:color w:val="auto"/>
                <w:sz w:val="24"/>
                <w:highlight w:val="none"/>
              </w:rPr>
              <w:t>注：投标时提供上述证书</w:t>
            </w:r>
            <w:r>
              <w:rPr>
                <w:rFonts w:hint="eastAsia" w:ascii="仿宋" w:hAnsi="仿宋" w:eastAsia="仿宋" w:cs="仿宋"/>
                <w:b/>
                <w:bCs/>
                <w:color w:val="auto"/>
                <w:sz w:val="24"/>
                <w:highlight w:val="none"/>
                <w:lang w:val="en-US" w:eastAsia="zh-CN"/>
              </w:rPr>
              <w:t>认证范围应与餐饮服务相关并</w:t>
            </w:r>
            <w:r>
              <w:rPr>
                <w:rFonts w:hint="eastAsia" w:ascii="仿宋" w:hAnsi="仿宋" w:eastAsia="仿宋" w:cs="仿宋"/>
                <w:b/>
                <w:bCs/>
                <w:color w:val="auto"/>
                <w:sz w:val="24"/>
                <w:highlight w:val="none"/>
              </w:rPr>
              <w:t>加盖单位公章，</w:t>
            </w:r>
            <w:bookmarkEnd w:id="188"/>
            <w:r>
              <w:rPr>
                <w:rFonts w:hint="eastAsia" w:ascii="仿宋" w:hAnsi="仿宋" w:eastAsia="仿宋" w:cs="仿宋"/>
                <w:b/>
                <w:bCs/>
                <w:color w:val="auto"/>
                <w:sz w:val="24"/>
                <w:highlight w:val="none"/>
              </w:rPr>
              <w:t>同时须提供上述证书在全国认证认可信息公共服务平台查询截图，不提供或提供的不符合要求的不得分。</w:t>
            </w:r>
          </w:p>
        </w:tc>
      </w:tr>
      <w:tr w14:paraId="73AA0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2" w:type="dxa"/>
            <w:noWrap w:val="0"/>
            <w:vAlign w:val="center"/>
          </w:tcPr>
          <w:p w14:paraId="0CAE4D1B">
            <w:pPr>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348" w:type="dxa"/>
            <w:noWrap w:val="0"/>
            <w:vAlign w:val="center"/>
          </w:tcPr>
          <w:p w14:paraId="0C2FA181">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餐饮服务方案及措施</w:t>
            </w:r>
          </w:p>
        </w:tc>
        <w:tc>
          <w:tcPr>
            <w:tcW w:w="709" w:type="dxa"/>
            <w:noWrap w:val="0"/>
            <w:vAlign w:val="center"/>
          </w:tcPr>
          <w:p w14:paraId="5C7CAC8D">
            <w:pPr>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5</w:t>
            </w:r>
            <w:r>
              <w:rPr>
                <w:rFonts w:hint="eastAsia" w:ascii="仿宋" w:hAnsi="仿宋" w:eastAsia="仿宋" w:cs="仿宋"/>
                <w:color w:val="auto"/>
                <w:sz w:val="24"/>
                <w:highlight w:val="none"/>
                <w:lang w:val="en-US" w:eastAsia="zh-CN"/>
              </w:rPr>
              <w:t>0</w:t>
            </w:r>
          </w:p>
        </w:tc>
        <w:tc>
          <w:tcPr>
            <w:tcW w:w="7039" w:type="dxa"/>
            <w:noWrap w:val="0"/>
            <w:vAlign w:val="center"/>
          </w:tcPr>
          <w:p w14:paraId="645AB716">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食材验收</w:t>
            </w:r>
            <w:r>
              <w:rPr>
                <w:rFonts w:hint="eastAsia" w:ascii="仿宋" w:hAnsi="仿宋" w:eastAsia="仿宋" w:cs="仿宋"/>
                <w:b/>
                <w:bCs/>
                <w:color w:val="auto"/>
                <w:sz w:val="24"/>
                <w:highlight w:val="none"/>
                <w:lang w:val="en-US" w:eastAsia="zh-CN"/>
              </w:rPr>
              <w:t>措施</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p w14:paraId="22264060">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食材贮存</w:t>
            </w:r>
            <w:r>
              <w:rPr>
                <w:rFonts w:hint="eastAsia" w:ascii="仿宋" w:hAnsi="仿宋" w:eastAsia="仿宋" w:cs="仿宋"/>
                <w:b/>
                <w:bCs/>
                <w:color w:val="auto"/>
                <w:sz w:val="24"/>
                <w:highlight w:val="none"/>
                <w:lang w:val="en-US" w:eastAsia="zh-CN"/>
              </w:rPr>
              <w:t>措施</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p w14:paraId="326A7CE2">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食材加工</w:t>
            </w:r>
            <w:r>
              <w:rPr>
                <w:rFonts w:hint="eastAsia" w:ascii="仿宋" w:hAnsi="仿宋" w:eastAsia="仿宋" w:cs="仿宋"/>
                <w:b/>
                <w:bCs/>
                <w:color w:val="auto"/>
                <w:sz w:val="24"/>
                <w:highlight w:val="none"/>
                <w:lang w:val="en-US" w:eastAsia="zh-CN"/>
              </w:rPr>
              <w:t>方案</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p w14:paraId="0F67BE24">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人员管理</w:t>
            </w:r>
            <w:r>
              <w:rPr>
                <w:rFonts w:hint="eastAsia" w:ascii="仿宋" w:hAnsi="仿宋" w:eastAsia="仿宋" w:cs="仿宋"/>
                <w:b/>
                <w:bCs/>
                <w:color w:val="auto"/>
                <w:sz w:val="24"/>
                <w:highlight w:val="none"/>
                <w:lang w:val="en-US" w:eastAsia="zh-CN"/>
              </w:rPr>
              <w:t>方案</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p w14:paraId="730D84AA">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添加剂管理</w:t>
            </w:r>
            <w:r>
              <w:rPr>
                <w:rFonts w:hint="eastAsia" w:ascii="仿宋" w:hAnsi="仿宋" w:eastAsia="仿宋" w:cs="仿宋"/>
                <w:b/>
                <w:bCs/>
                <w:color w:val="auto"/>
                <w:sz w:val="24"/>
                <w:highlight w:val="none"/>
                <w:lang w:val="en-US" w:eastAsia="zh-CN"/>
              </w:rPr>
              <w:t>措施</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p w14:paraId="6B587F0B">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食品留样</w:t>
            </w:r>
            <w:r>
              <w:rPr>
                <w:rFonts w:hint="eastAsia" w:ascii="仿宋" w:hAnsi="仿宋" w:eastAsia="仿宋" w:cs="仿宋"/>
                <w:b/>
                <w:bCs/>
                <w:color w:val="auto"/>
                <w:sz w:val="24"/>
                <w:highlight w:val="none"/>
                <w:lang w:val="en-US" w:eastAsia="zh-CN"/>
              </w:rPr>
              <w:t>措施</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p w14:paraId="0158FA30">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清洗消毒</w:t>
            </w:r>
            <w:r>
              <w:rPr>
                <w:rFonts w:hint="eastAsia" w:ascii="仿宋" w:hAnsi="仿宋" w:eastAsia="仿宋" w:cs="仿宋"/>
                <w:b/>
                <w:bCs/>
                <w:color w:val="auto"/>
                <w:sz w:val="24"/>
                <w:highlight w:val="none"/>
                <w:lang w:val="en-US" w:eastAsia="zh-CN"/>
              </w:rPr>
              <w:t>措施</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p w14:paraId="212E2C10">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环境卫生管理</w:t>
            </w:r>
            <w:r>
              <w:rPr>
                <w:rFonts w:hint="eastAsia" w:ascii="仿宋" w:hAnsi="仿宋" w:eastAsia="仿宋" w:cs="仿宋"/>
                <w:b/>
                <w:bCs/>
                <w:color w:val="auto"/>
                <w:sz w:val="24"/>
                <w:highlight w:val="none"/>
                <w:lang w:val="en-US" w:eastAsia="zh-CN"/>
              </w:rPr>
              <w:t>方案</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p w14:paraId="0F1213BA">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餐厨</w:t>
            </w:r>
            <w:r>
              <w:rPr>
                <w:rFonts w:hint="eastAsia" w:ascii="仿宋" w:hAnsi="仿宋" w:eastAsia="仿宋" w:cs="仿宋"/>
                <w:b/>
                <w:bCs/>
                <w:color w:val="auto"/>
                <w:sz w:val="24"/>
                <w:highlight w:val="none"/>
                <w:lang w:val="en-US" w:eastAsia="zh-CN"/>
              </w:rPr>
              <w:t>垃圾处理方案</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p w14:paraId="11690D3C">
            <w:pPr>
              <w:numPr>
                <w:ilvl w:val="0"/>
                <w:numId w:val="2"/>
              </w:numPr>
              <w:spacing w:line="440" w:lineRule="exact"/>
              <w:ind w:left="0" w:firstLine="0"/>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特殊食品和过敏原控制</w:t>
            </w:r>
            <w:r>
              <w:rPr>
                <w:rFonts w:hint="eastAsia" w:ascii="仿宋" w:hAnsi="仿宋" w:eastAsia="仿宋" w:cs="仿宋"/>
                <w:color w:val="auto"/>
                <w:sz w:val="24"/>
                <w:highlight w:val="none"/>
              </w:rPr>
              <w:t>：方案/措施全面有效合理、可行性强的得5分；方案/措施基本完善合理、可行性较强、较合理的得2分；制度不细致方案/措施基本完善合理、可行性较强、较合理的得1分。不提供或者经评标委员会认定方案/措施简单有缺失，可行性差的不得分。</w:t>
            </w:r>
          </w:p>
        </w:tc>
      </w:tr>
      <w:tr w14:paraId="6D03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42" w:type="dxa"/>
            <w:noWrap w:val="0"/>
            <w:vAlign w:val="center"/>
          </w:tcPr>
          <w:p w14:paraId="3638C0DB">
            <w:pPr>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348" w:type="dxa"/>
            <w:noWrap w:val="0"/>
            <w:vAlign w:val="center"/>
          </w:tcPr>
          <w:p w14:paraId="3FBCBB3C">
            <w:pPr>
              <w:spacing w:line="44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诚信投标</w:t>
            </w:r>
          </w:p>
        </w:tc>
        <w:tc>
          <w:tcPr>
            <w:tcW w:w="709" w:type="dxa"/>
            <w:noWrap w:val="0"/>
            <w:vAlign w:val="center"/>
          </w:tcPr>
          <w:p w14:paraId="7C994553">
            <w:pPr>
              <w:spacing w:line="440" w:lineRule="exact"/>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7039" w:type="dxa"/>
            <w:noWrap w:val="0"/>
            <w:vAlign w:val="center"/>
          </w:tcPr>
          <w:p w14:paraId="609662F5">
            <w:pPr>
              <w:spacing w:line="44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投标人提交签署并盖章《盐城市大丰区政府招标采购供应商承诺书》原件扫描件的得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分；没有提供的不得分。</w:t>
            </w:r>
          </w:p>
        </w:tc>
      </w:tr>
    </w:tbl>
    <w:p w14:paraId="3BCA9A67">
      <w:pPr>
        <w:spacing w:line="360" w:lineRule="auto"/>
        <w:rPr>
          <w:rFonts w:hint="eastAsia" w:ascii="宋体" w:hAnsi="宋体" w:cs="Courier New"/>
          <w:bCs/>
          <w:color w:val="auto"/>
          <w:sz w:val="24"/>
          <w:highlight w:val="none"/>
        </w:rPr>
      </w:pPr>
    </w:p>
    <w:p w14:paraId="14189115">
      <w:pPr>
        <w:spacing w:before="120" w:after="120" w:line="360" w:lineRule="auto"/>
        <w:ind w:firstLine="480"/>
        <w:rPr>
          <w:rFonts w:hint="eastAsia" w:ascii="黑体" w:hAnsi="宋体" w:eastAsia="黑体" w:cs="黑体"/>
          <w:color w:val="auto"/>
          <w:sz w:val="44"/>
          <w:szCs w:val="44"/>
          <w:highlight w:val="none"/>
        </w:rPr>
      </w:pPr>
      <w:r>
        <w:rPr>
          <w:rFonts w:hint="eastAsia" w:ascii="宋体" w:hAnsi="宋体" w:cs="Courier New"/>
          <w:color w:val="auto"/>
          <w:sz w:val="24"/>
          <w:highlight w:val="none"/>
        </w:rPr>
        <w:t>注：</w:t>
      </w:r>
      <w:r>
        <w:rPr>
          <w:rFonts w:hint="eastAsia" w:ascii="宋体" w:hAnsi="宋体" w:cs="Courier New"/>
          <w:bCs/>
          <w:color w:val="auto"/>
          <w:sz w:val="24"/>
          <w:highlight w:val="none"/>
        </w:rPr>
        <w:t>投标人对所提供资料的真实性负责。采购人保留对中标单位所有资料进行复核的权利。如有弄虚作假者，一经发现，立即取消其中标资格，并向相关主管部门汇报。</w:t>
      </w:r>
      <w:r>
        <w:rPr>
          <w:rFonts w:hint="eastAsia" w:ascii="宋体" w:hAnsi="宋体" w:eastAsia="宋体" w:cs="宋体"/>
          <w:color w:val="auto"/>
          <w:highlight w:val="none"/>
        </w:rPr>
        <w:t> </w:t>
      </w:r>
      <w:r>
        <w:rPr>
          <w:rFonts w:hint="eastAsia" w:ascii="黑体" w:hAnsi="宋体" w:eastAsia="黑体" w:cs="黑体"/>
          <w:color w:val="auto"/>
          <w:sz w:val="44"/>
          <w:szCs w:val="44"/>
          <w:highlight w:val="none"/>
        </w:rPr>
        <w:br w:type="page" w:clear="all"/>
      </w:r>
    </w:p>
    <w:p w14:paraId="4860C49D">
      <w:pPr>
        <w:pStyle w:val="33"/>
        <w:spacing w:beforeAutospacing="0" w:afterAutospacing="0" w:line="360" w:lineRule="auto"/>
        <w:ind w:right="840"/>
        <w:jc w:val="center"/>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 xml:space="preserve">第六章  投标文件格式 </w:t>
      </w:r>
    </w:p>
    <w:p w14:paraId="57435820">
      <w:pPr>
        <w:pStyle w:val="33"/>
        <w:spacing w:beforeAutospacing="0" w:afterAutospacing="0" w:line="360" w:lineRule="auto"/>
        <w:jc w:val="center"/>
        <w:rPr>
          <w:rFonts w:hint="eastAsia" w:ascii="宋体" w:hAnsi="宋体" w:eastAsia="宋体" w:cs="宋体"/>
          <w:b/>
          <w:color w:val="auto"/>
          <w:sz w:val="72"/>
          <w:szCs w:val="72"/>
          <w:highlight w:val="none"/>
        </w:rPr>
      </w:pPr>
      <w:bookmarkStart w:id="189" w:name="_Hlt26955039"/>
      <w:bookmarkEnd w:id="189"/>
      <w:bookmarkStart w:id="190" w:name="_Hlt26671244"/>
      <w:bookmarkEnd w:id="190"/>
      <w:bookmarkStart w:id="191" w:name="_Toc26554094"/>
      <w:bookmarkEnd w:id="191"/>
      <w:bookmarkStart w:id="192" w:name="_Toc49090576"/>
      <w:bookmarkStart w:id="193" w:name="_Toc120614282"/>
    </w:p>
    <w:p w14:paraId="4390FDDA">
      <w:pPr>
        <w:pStyle w:val="33"/>
        <w:spacing w:beforeAutospacing="0" w:afterAutospacing="0" w:line="360" w:lineRule="auto"/>
        <w:jc w:val="center"/>
        <w:rPr>
          <w:rFonts w:hint="eastAsia" w:ascii="宋体" w:hAnsi="宋体" w:eastAsia="宋体" w:cs="宋体"/>
          <w:b/>
          <w:color w:val="auto"/>
          <w:sz w:val="72"/>
          <w:szCs w:val="72"/>
          <w:highlight w:val="none"/>
        </w:rPr>
      </w:pPr>
    </w:p>
    <w:p w14:paraId="6B91D743">
      <w:pPr>
        <w:pStyle w:val="33"/>
        <w:spacing w:beforeAutospacing="0" w:afterAutospacing="0" w:line="360" w:lineRule="auto"/>
        <w:jc w:val="center"/>
        <w:rPr>
          <w:rFonts w:hint="eastAsia" w:ascii="宋体" w:hAnsi="宋体" w:eastAsia="宋体" w:cs="宋体"/>
          <w:b/>
          <w:color w:val="auto"/>
          <w:sz w:val="72"/>
          <w:szCs w:val="72"/>
          <w:highlight w:val="none"/>
        </w:rPr>
      </w:pPr>
    </w:p>
    <w:p w14:paraId="4904354A">
      <w:pPr>
        <w:pStyle w:val="33"/>
        <w:spacing w:beforeAutospacing="0" w:afterAutospacing="0" w:line="360" w:lineRule="auto"/>
        <w:jc w:val="center"/>
        <w:rPr>
          <w:color w:val="auto"/>
          <w:highlight w:val="none"/>
        </w:rPr>
      </w:pPr>
      <w:r>
        <w:rPr>
          <w:rFonts w:hint="eastAsia" w:ascii="宋体" w:hAnsi="宋体" w:eastAsia="宋体" w:cs="宋体"/>
          <w:b/>
          <w:color w:val="auto"/>
          <w:sz w:val="72"/>
          <w:szCs w:val="72"/>
          <w:highlight w:val="none"/>
        </w:rPr>
        <w:t>投  标  文  件</w:t>
      </w:r>
    </w:p>
    <w:p w14:paraId="2749422D">
      <w:pPr>
        <w:pStyle w:val="33"/>
        <w:spacing w:beforeAutospacing="0" w:afterAutospacing="0" w:line="360" w:lineRule="auto"/>
        <w:jc w:val="center"/>
        <w:rPr>
          <w:color w:val="auto"/>
          <w:highlight w:val="none"/>
        </w:rPr>
      </w:pPr>
      <w:r>
        <w:rPr>
          <w:color w:val="auto"/>
          <w:highlight w:val="none"/>
        </w:rPr>
        <w:t> </w:t>
      </w:r>
    </w:p>
    <w:p w14:paraId="51484DCA">
      <w:pPr>
        <w:pStyle w:val="33"/>
        <w:spacing w:beforeAutospacing="0" w:afterAutospacing="0" w:line="360" w:lineRule="auto"/>
        <w:jc w:val="center"/>
        <w:rPr>
          <w:color w:val="auto"/>
          <w:highlight w:val="none"/>
        </w:rPr>
      </w:pPr>
      <w:r>
        <w:rPr>
          <w:color w:val="auto"/>
          <w:highlight w:val="none"/>
        </w:rPr>
        <w:t> </w:t>
      </w:r>
    </w:p>
    <w:p w14:paraId="0E72955C">
      <w:pPr>
        <w:pStyle w:val="33"/>
        <w:spacing w:beforeAutospacing="0" w:afterAutospacing="0" w:line="360" w:lineRule="auto"/>
        <w:jc w:val="center"/>
        <w:rPr>
          <w:color w:val="auto"/>
          <w:highlight w:val="none"/>
        </w:rPr>
      </w:pPr>
      <w:r>
        <w:rPr>
          <w:color w:val="auto"/>
          <w:highlight w:val="none"/>
        </w:rPr>
        <w:t> </w:t>
      </w:r>
    </w:p>
    <w:p w14:paraId="4D766B4C">
      <w:pPr>
        <w:pStyle w:val="33"/>
        <w:spacing w:beforeAutospacing="0" w:afterAutospacing="0" w:line="360" w:lineRule="auto"/>
        <w:jc w:val="center"/>
        <w:rPr>
          <w:color w:val="auto"/>
          <w:highlight w:val="none"/>
        </w:rPr>
      </w:pPr>
      <w:r>
        <w:rPr>
          <w:color w:val="auto"/>
          <w:highlight w:val="none"/>
        </w:rPr>
        <w:t> </w:t>
      </w:r>
    </w:p>
    <w:p w14:paraId="2FB325E5">
      <w:pPr>
        <w:pStyle w:val="33"/>
        <w:spacing w:beforeAutospacing="0" w:afterAutospacing="0" w:line="360" w:lineRule="auto"/>
        <w:jc w:val="center"/>
        <w:rPr>
          <w:color w:val="auto"/>
          <w:highlight w:val="none"/>
        </w:rPr>
      </w:pPr>
      <w:r>
        <w:rPr>
          <w:color w:val="auto"/>
          <w:highlight w:val="none"/>
        </w:rPr>
        <w:t> </w:t>
      </w:r>
    </w:p>
    <w:p w14:paraId="322EDF84">
      <w:pPr>
        <w:pStyle w:val="33"/>
        <w:spacing w:beforeAutospacing="0" w:afterAutospacing="0" w:line="360" w:lineRule="auto"/>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59CFBAB0">
      <w:pPr>
        <w:pStyle w:val="33"/>
        <w:spacing w:beforeAutospacing="0" w:afterAutospacing="0" w:line="360" w:lineRule="auto"/>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71D53CEC">
      <w:pPr>
        <w:pStyle w:val="33"/>
        <w:spacing w:beforeAutospacing="0" w:afterAutospacing="0" w:line="360" w:lineRule="auto"/>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2EC53CA2">
      <w:pPr>
        <w:pStyle w:val="33"/>
        <w:spacing w:beforeAutospacing="0" w:afterAutospacing="0" w:line="360" w:lineRule="auto"/>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5E87D5DF">
      <w:pPr>
        <w:pStyle w:val="33"/>
        <w:spacing w:beforeAutospacing="0" w:afterAutospacing="0" w:line="360" w:lineRule="auto"/>
        <w:jc w:val="center"/>
        <w:rPr>
          <w:color w:val="auto"/>
          <w:highlight w:val="none"/>
        </w:rPr>
      </w:pPr>
      <w:r>
        <w:rPr>
          <w:color w:val="auto"/>
          <w:highlight w:val="none"/>
        </w:rPr>
        <w:t> </w:t>
      </w:r>
    </w:p>
    <w:p w14:paraId="06EDA8EF">
      <w:pPr>
        <w:pStyle w:val="33"/>
        <w:spacing w:beforeAutospacing="0" w:afterAutospacing="0" w:line="360" w:lineRule="auto"/>
        <w:jc w:val="both"/>
        <w:rPr>
          <w:color w:val="auto"/>
          <w:highlight w:val="none"/>
        </w:rPr>
      </w:pPr>
      <w:r>
        <w:rPr>
          <w:color w:val="auto"/>
          <w:highlight w:val="none"/>
        </w:rPr>
        <w:t> </w:t>
      </w:r>
    </w:p>
    <w:p w14:paraId="790CC3A6">
      <w:pPr>
        <w:pStyle w:val="33"/>
        <w:spacing w:beforeAutospacing="0" w:afterAutospacing="0" w:line="360" w:lineRule="auto"/>
        <w:jc w:val="center"/>
        <w:rPr>
          <w:rFonts w:hint="eastAsia" w:ascii="宋体" w:hAnsi="宋体" w:eastAsia="宋体" w:cs="宋体"/>
          <w:b/>
          <w:color w:val="auto"/>
          <w:sz w:val="36"/>
          <w:szCs w:val="36"/>
          <w:highlight w:val="none"/>
          <w:u w:val="single"/>
        </w:rPr>
      </w:pPr>
    </w:p>
    <w:p w14:paraId="135DCA21">
      <w:pPr>
        <w:pStyle w:val="33"/>
        <w:spacing w:beforeAutospacing="0" w:afterAutospacing="0" w:line="360" w:lineRule="auto"/>
        <w:jc w:val="center"/>
        <w:rPr>
          <w:rFonts w:hint="eastAsia" w:ascii="宋体" w:hAnsi="宋体" w:eastAsia="宋体" w:cs="宋体"/>
          <w:b/>
          <w:color w:val="auto"/>
          <w:sz w:val="36"/>
          <w:szCs w:val="36"/>
          <w:highlight w:val="none"/>
          <w:u w:val="single"/>
        </w:rPr>
      </w:pPr>
    </w:p>
    <w:p w14:paraId="30C1586B">
      <w:pPr>
        <w:pStyle w:val="33"/>
        <w:spacing w:beforeAutospacing="0" w:afterAutospacing="0" w:line="360" w:lineRule="auto"/>
        <w:jc w:val="center"/>
        <w:rPr>
          <w:rFonts w:hint="eastAsia" w:ascii="宋体" w:hAnsi="宋体" w:eastAsia="宋体" w:cs="宋体"/>
          <w:b/>
          <w:color w:val="auto"/>
          <w:sz w:val="36"/>
          <w:szCs w:val="36"/>
          <w:highlight w:val="none"/>
          <w:u w:val="single"/>
        </w:rPr>
      </w:pPr>
    </w:p>
    <w:p w14:paraId="68188160">
      <w:pPr>
        <w:pStyle w:val="33"/>
        <w:spacing w:beforeAutospacing="0" w:afterAutospacing="0" w:line="360" w:lineRule="auto"/>
        <w:jc w:val="center"/>
        <w:rPr>
          <w:color w:val="auto"/>
          <w:highlight w:val="none"/>
        </w:rPr>
      </w:pPr>
      <w:r>
        <w:rPr>
          <w:rFonts w:hint="eastAsia" w:ascii="宋体" w:hAnsi="宋体" w:eastAsia="宋体" w:cs="宋体"/>
          <w:b/>
          <w:color w:val="auto"/>
          <w:sz w:val="32"/>
          <w:szCs w:val="32"/>
          <w:highlight w:val="none"/>
        </w:rPr>
        <w:t>投标文件目录</w:t>
      </w:r>
    </w:p>
    <w:p w14:paraId="0EB4262D">
      <w:pPr>
        <w:pStyle w:val="33"/>
        <w:spacing w:beforeAutospacing="0" w:afterAutospacing="0" w:line="360" w:lineRule="auto"/>
        <w:ind w:firstLine="480"/>
        <w:jc w:val="center"/>
        <w:rPr>
          <w:color w:val="auto"/>
          <w:highlight w:val="none"/>
        </w:rPr>
      </w:pPr>
      <w:r>
        <w:rPr>
          <w:color w:val="auto"/>
          <w:highlight w:val="none"/>
        </w:rPr>
        <w:t> </w:t>
      </w:r>
    </w:p>
    <w:p w14:paraId="58A6B7E2">
      <w:pPr>
        <w:pStyle w:val="33"/>
        <w:spacing w:beforeAutospacing="0" w:afterAutospacing="0" w:line="360" w:lineRule="auto"/>
        <w:ind w:firstLine="480"/>
        <w:rPr>
          <w:rFonts w:hint="eastAsia" w:ascii="宋体" w:hAnsi="宋体" w:eastAsia="宋体" w:cs="宋体"/>
          <w:iCs/>
          <w:color w:val="auto"/>
          <w:highlight w:val="none"/>
        </w:rPr>
      </w:pPr>
      <w:r>
        <w:rPr>
          <w:rFonts w:hint="eastAsia" w:ascii="宋体" w:hAnsi="宋体" w:eastAsia="宋体" w:cs="宋体"/>
          <w:iCs/>
          <w:color w:val="auto"/>
          <w:highlight w:val="none"/>
        </w:rPr>
        <w:t>一、法人或者其他组织的营业执照等证明文件。</w:t>
      </w:r>
    </w:p>
    <w:p w14:paraId="0DB0AF02">
      <w:pPr>
        <w:tabs>
          <w:tab w:val="left" w:pos="1331"/>
        </w:tabs>
        <w:spacing w:line="360" w:lineRule="auto"/>
        <w:ind w:firstLine="480"/>
        <w:jc w:val="lef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二、上一年度的财务状况报告（至少提供资产负债表、利润表、现金流量表，投标人成立不满一年无需提供）。</w:t>
      </w:r>
    </w:p>
    <w:p w14:paraId="36F77B9C">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三、具备履行合同所必需的设备和专业技术能力的书面声明。</w:t>
      </w:r>
    </w:p>
    <w:p w14:paraId="4BA8CAB3">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DC06DF3">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五、参加政府采购活动前 3 年内在经营活动中没有重大违法记录的书面声明。</w:t>
      </w:r>
    </w:p>
    <w:p w14:paraId="06EC9468">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六、特定资格要求的证明文件</w:t>
      </w:r>
    </w:p>
    <w:p w14:paraId="601B2E96">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七、法人授权书</w:t>
      </w:r>
    </w:p>
    <w:p w14:paraId="662B2F76">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八、投标函</w:t>
      </w:r>
    </w:p>
    <w:p w14:paraId="4AC9238C">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九、中小企业声明函（如有）</w:t>
      </w:r>
    </w:p>
    <w:p w14:paraId="6090C6D6">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十、残疾人福利性单位声明函（如有）</w:t>
      </w:r>
    </w:p>
    <w:p w14:paraId="1529DBCE">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十一、投标分项报价表</w:t>
      </w:r>
    </w:p>
    <w:p w14:paraId="7D951187">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十二、服务要求响应及偏离表</w:t>
      </w:r>
    </w:p>
    <w:p w14:paraId="1FDB4915">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十三、商务要求响应及偏离表</w:t>
      </w:r>
    </w:p>
    <w:p w14:paraId="1A152802">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十四、开标一览表</w:t>
      </w:r>
    </w:p>
    <w:p w14:paraId="5677DE84">
      <w:pPr>
        <w:widowControl/>
        <w:spacing w:before="50" w:after="50" w:line="360" w:lineRule="auto"/>
        <w:ind w:firstLine="480"/>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十五、根据招标文件“第五章 定标原则与评标标准”的要求需要提供的材料及投标人认为有必要提供的其他材料</w:t>
      </w:r>
    </w:p>
    <w:p w14:paraId="0C04022A">
      <w:pPr>
        <w:pStyle w:val="33"/>
        <w:spacing w:beforeAutospacing="0" w:afterAutospacing="0" w:line="360" w:lineRule="auto"/>
        <w:ind w:firstLine="480"/>
        <w:jc w:val="both"/>
        <w:rPr>
          <w:rFonts w:hint="eastAsia" w:ascii="宋体" w:hAnsi="宋体" w:eastAsia="宋体" w:cs="宋体"/>
          <w:iCs/>
          <w:color w:val="auto"/>
          <w:highlight w:val="none"/>
        </w:rPr>
      </w:pPr>
      <w:r>
        <w:rPr>
          <w:rFonts w:hint="eastAsia" w:ascii="宋体" w:hAnsi="宋体" w:eastAsia="宋体" w:cs="宋体"/>
          <w:iCs/>
          <w:color w:val="auto"/>
          <w:highlight w:val="none"/>
        </w:rPr>
        <w:t>十六、盐城市大丰区政府招标采购供应商承诺书</w:t>
      </w:r>
    </w:p>
    <w:p w14:paraId="5DD3B15E">
      <w:pPr>
        <w:pStyle w:val="33"/>
        <w:spacing w:beforeAutospacing="0" w:afterAutospacing="0" w:line="360" w:lineRule="auto"/>
        <w:ind w:firstLine="480"/>
        <w:jc w:val="both"/>
        <w:rPr>
          <w:rFonts w:hint="eastAsia" w:ascii="宋体" w:hAnsi="宋体" w:eastAsia="宋体" w:cs="宋体"/>
          <w:color w:val="auto"/>
          <w:highlight w:val="none"/>
        </w:rPr>
      </w:pPr>
    </w:p>
    <w:p w14:paraId="5B1BC666">
      <w:pPr>
        <w:pStyle w:val="33"/>
        <w:spacing w:beforeAutospacing="0" w:afterAutospacing="0" w:line="360" w:lineRule="auto"/>
        <w:ind w:firstLine="480"/>
        <w:jc w:val="both"/>
        <w:rPr>
          <w:rFonts w:hint="eastAsia" w:ascii="宋体" w:hAnsi="宋体" w:eastAsia="宋体" w:cs="宋体"/>
          <w:color w:val="auto"/>
          <w:highlight w:val="none"/>
        </w:rPr>
      </w:pPr>
    </w:p>
    <w:p w14:paraId="42D3FB17">
      <w:pPr>
        <w:pStyle w:val="33"/>
        <w:spacing w:beforeAutospacing="0" w:afterAutospacing="0" w:line="360" w:lineRule="auto"/>
        <w:ind w:firstLine="480"/>
        <w:jc w:val="both"/>
        <w:rPr>
          <w:color w:val="auto"/>
          <w:highlight w:val="none"/>
        </w:rPr>
      </w:pPr>
      <w:r>
        <w:rPr>
          <w:color w:val="auto"/>
          <w:highlight w:val="none"/>
        </w:rPr>
        <w:t> </w:t>
      </w:r>
    </w:p>
    <w:p w14:paraId="343777BC">
      <w:pPr>
        <w:pStyle w:val="33"/>
        <w:spacing w:beforeAutospacing="0" w:afterAutospacing="0" w:line="360" w:lineRule="auto"/>
        <w:ind w:firstLine="480"/>
        <w:jc w:val="both"/>
        <w:rPr>
          <w:color w:val="auto"/>
          <w:highlight w:val="none"/>
        </w:rPr>
      </w:pPr>
    </w:p>
    <w:p w14:paraId="6C4D3D9D">
      <w:pPr>
        <w:pStyle w:val="33"/>
        <w:spacing w:beforeAutospacing="0" w:afterAutospacing="0" w:line="360" w:lineRule="auto"/>
        <w:ind w:firstLine="480"/>
        <w:jc w:val="both"/>
        <w:rPr>
          <w:color w:val="auto"/>
          <w:highlight w:val="none"/>
        </w:rPr>
      </w:pPr>
    </w:p>
    <w:p w14:paraId="0D0C8444">
      <w:pPr>
        <w:pStyle w:val="33"/>
        <w:spacing w:beforeAutospacing="0" w:afterAutospacing="0" w:line="360" w:lineRule="auto"/>
        <w:ind w:firstLine="480"/>
        <w:jc w:val="both"/>
        <w:rPr>
          <w:color w:val="auto"/>
          <w:highlight w:val="none"/>
        </w:rPr>
      </w:pPr>
    </w:p>
    <w:p w14:paraId="65197CF7">
      <w:pPr>
        <w:pStyle w:val="33"/>
        <w:spacing w:beforeAutospacing="0" w:afterAutospacing="0" w:line="360" w:lineRule="auto"/>
        <w:ind w:firstLine="480"/>
        <w:jc w:val="both"/>
        <w:rPr>
          <w:color w:val="auto"/>
          <w:highlight w:val="none"/>
        </w:rPr>
      </w:pPr>
    </w:p>
    <w:p w14:paraId="495D25FE">
      <w:pPr>
        <w:pStyle w:val="33"/>
        <w:spacing w:beforeAutospacing="0" w:afterAutospacing="0" w:line="360" w:lineRule="auto"/>
        <w:ind w:firstLine="480"/>
        <w:jc w:val="both"/>
        <w:rPr>
          <w:color w:val="auto"/>
          <w:highlight w:val="none"/>
        </w:rPr>
      </w:pPr>
    </w:p>
    <w:p w14:paraId="4265E9CA">
      <w:pPr>
        <w:pStyle w:val="33"/>
        <w:spacing w:beforeAutospacing="0" w:afterAutospacing="0" w:line="360" w:lineRule="auto"/>
        <w:ind w:firstLine="480"/>
        <w:jc w:val="both"/>
        <w:rPr>
          <w:color w:val="auto"/>
          <w:highlight w:val="none"/>
        </w:rPr>
      </w:pPr>
      <w:r>
        <w:rPr>
          <w:color w:val="auto"/>
          <w:highlight w:val="none"/>
        </w:rPr>
        <w:t>  </w:t>
      </w:r>
    </w:p>
    <w:p w14:paraId="2E7104D1">
      <w:pPr>
        <w:pStyle w:val="33"/>
        <w:spacing w:beforeAutospacing="0" w:afterAutospacing="0" w:line="360" w:lineRule="auto"/>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w:t>
      </w:r>
    </w:p>
    <w:p w14:paraId="1B4582B5">
      <w:pPr>
        <w:pStyle w:val="33"/>
        <w:spacing w:beforeAutospacing="0" w:afterAutospacing="0" w:line="360" w:lineRule="auto"/>
        <w:ind w:firstLine="480"/>
        <w:jc w:val="both"/>
        <w:rPr>
          <w:color w:val="auto"/>
          <w:highlight w:val="none"/>
        </w:rPr>
      </w:pPr>
      <w:r>
        <w:rPr>
          <w:color w:val="auto"/>
          <w:highlight w:val="none"/>
        </w:rPr>
        <w:t> </w:t>
      </w:r>
    </w:p>
    <w:p w14:paraId="241D3659">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A0EC499">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59C9A4A">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112BDD0">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93B338D">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6255C6E">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B7DB48A">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ADEF996">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58A3BB1">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6DEF3AC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9346C60">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306577A">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D3C4E7E">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606A6879">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7F3B8BC">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9FDF6EE">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7F0061A">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93B43AD">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A9C2E26">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0B2307E">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BEB2BA6">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C106EF8">
      <w:pPr>
        <w:pStyle w:val="33"/>
        <w:spacing w:beforeAutospacing="0" w:afterAutospacing="0" w:line="360" w:lineRule="auto"/>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二、上一年度的财务状况报告</w:t>
      </w:r>
    </w:p>
    <w:p w14:paraId="610E7361">
      <w:pPr>
        <w:tabs>
          <w:tab w:val="left" w:pos="1331"/>
        </w:tabs>
        <w:spacing w:line="360" w:lineRule="auto"/>
        <w:jc w:val="left"/>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（至少提供资产负债表、利润表、现金流量表，投标人成立不满一年无需提供）</w:t>
      </w:r>
    </w:p>
    <w:p w14:paraId="0008ED4A">
      <w:pPr>
        <w:pStyle w:val="33"/>
        <w:spacing w:beforeAutospacing="0" w:afterAutospacing="0" w:line="360" w:lineRule="auto"/>
        <w:jc w:val="both"/>
        <w:rPr>
          <w:color w:val="auto"/>
          <w:highlight w:val="none"/>
        </w:rPr>
      </w:pPr>
    </w:p>
    <w:p w14:paraId="45D6282F">
      <w:pPr>
        <w:pStyle w:val="33"/>
        <w:spacing w:beforeAutospacing="0" w:afterAutospacing="0" w:line="360" w:lineRule="auto"/>
        <w:jc w:val="both"/>
        <w:rPr>
          <w:color w:val="auto"/>
          <w:highlight w:val="none"/>
        </w:rPr>
      </w:pPr>
      <w:r>
        <w:rPr>
          <w:color w:val="auto"/>
          <w:highlight w:val="none"/>
        </w:rPr>
        <w:t> </w:t>
      </w:r>
    </w:p>
    <w:p w14:paraId="155CB2FE">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C2448B0">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B08EB0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61A0931">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AA63734">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BE3C95F">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0D7817F2">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E9E5C91">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A31A779">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0A4A459D">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0103F8C">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951818C">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93EE68C">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A33F536">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74C3021">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616B9293">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F35D5BF">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2D5E83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6BEAE2C7">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755E2E7">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FFBA2B3">
      <w:pPr>
        <w:pStyle w:val="33"/>
        <w:spacing w:beforeAutospacing="0" w:afterAutospacing="0" w:line="360" w:lineRule="auto"/>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6FA50775">
      <w:pPr>
        <w:pStyle w:val="33"/>
        <w:spacing w:beforeAutospacing="0" w:afterAutospacing="0" w:line="360" w:lineRule="auto"/>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191D8ADB">
      <w:pPr>
        <w:pStyle w:val="33"/>
        <w:spacing w:beforeAutospacing="0" w:afterAutospacing="0" w:line="360" w:lineRule="auto"/>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B6E620E">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CA78236">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9E5BAC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849E630">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57D751C">
      <w:pPr>
        <w:spacing w:before="78" w:line="341" w:lineRule="auto"/>
        <w:ind w:left="4599"/>
        <w:rPr>
          <w:rFonts w:hint="eastAsia" w:ascii="宋体" w:hAnsi="宋体" w:eastAsia="宋体" w:cs="宋体"/>
          <w:color w:val="auto"/>
          <w:spacing w:val="1"/>
          <w:sz w:val="24"/>
          <w:highlight w:val="none"/>
        </w:rPr>
      </w:pPr>
      <w:r>
        <w:rPr>
          <w:rFonts w:ascii="宋体" w:hAnsi="宋体" w:eastAsia="宋体" w:cs="宋体"/>
          <w:color w:val="auto"/>
          <w:spacing w:val="-1"/>
          <w:sz w:val="24"/>
          <w:highlight w:val="none"/>
        </w:rPr>
        <w:t>供应商名称（公章</w:t>
      </w:r>
      <w:r>
        <w:rPr>
          <w:rFonts w:ascii="宋体" w:hAnsi="宋体" w:eastAsia="宋体" w:cs="宋体"/>
          <w:color w:val="auto"/>
          <w:spacing w:val="1"/>
          <w:sz w:val="24"/>
          <w:highlight w:val="none"/>
        </w:rPr>
        <w:t>）：</w:t>
      </w:r>
      <w:r>
        <w:rPr>
          <w:rFonts w:ascii="宋体" w:hAnsi="宋体" w:eastAsia="宋体" w:cs="宋体"/>
          <w:color w:val="auto"/>
          <w:spacing w:val="1"/>
          <w:sz w:val="24"/>
          <w:highlight w:val="none"/>
          <w:u w:val="single"/>
        </w:rPr>
        <w:t>（</w:t>
      </w:r>
      <w:r>
        <w:rPr>
          <w:rFonts w:ascii="宋体" w:hAnsi="宋体" w:eastAsia="宋体" w:cs="宋体"/>
          <w:color w:val="auto"/>
          <w:spacing w:val="-1"/>
          <w:sz w:val="24"/>
          <w:highlight w:val="none"/>
          <w:u w:val="single"/>
        </w:rPr>
        <w:t>加盖公章）</w:t>
      </w:r>
      <w:r>
        <w:rPr>
          <w:rFonts w:ascii="宋体" w:hAnsi="宋体" w:eastAsia="宋体" w:cs="宋体"/>
          <w:color w:val="auto"/>
          <w:spacing w:val="1"/>
          <w:sz w:val="24"/>
          <w:highlight w:val="none"/>
        </w:rPr>
        <w:t xml:space="preserve"> </w:t>
      </w:r>
    </w:p>
    <w:p w14:paraId="4A5AA117">
      <w:pPr>
        <w:spacing w:before="78" w:line="341" w:lineRule="auto"/>
        <w:ind w:left="4599"/>
        <w:rPr>
          <w:rFonts w:hint="eastAsia" w:ascii="宋体" w:hAnsi="宋体" w:eastAsia="宋体" w:cs="宋体"/>
          <w:color w:val="auto"/>
          <w:sz w:val="24"/>
          <w:highlight w:val="none"/>
        </w:rPr>
      </w:pPr>
      <w:r>
        <w:rPr>
          <w:rFonts w:ascii="宋体" w:hAnsi="宋体" w:eastAsia="宋体" w:cs="宋体"/>
          <w:color w:val="auto"/>
          <w:spacing w:val="-13"/>
          <w:sz w:val="24"/>
          <w:highlight w:val="none"/>
        </w:rPr>
        <w:t>日期：</w:t>
      </w:r>
      <w:r>
        <w:rPr>
          <w:rFonts w:ascii="宋体" w:hAnsi="宋体" w:eastAsia="宋体" w:cs="宋体"/>
          <w:color w:val="auto"/>
          <w:sz w:val="24"/>
          <w:highlight w:val="none"/>
          <w:u w:val="single"/>
        </w:rPr>
        <w:t xml:space="preserve">      </w:t>
      </w:r>
      <w:r>
        <w:rPr>
          <w:rFonts w:ascii="宋体" w:hAnsi="宋体" w:eastAsia="宋体" w:cs="宋体"/>
          <w:color w:val="auto"/>
          <w:spacing w:val="-109"/>
          <w:sz w:val="24"/>
          <w:highlight w:val="none"/>
        </w:rPr>
        <w:t xml:space="preserve"> </w:t>
      </w:r>
      <w:r>
        <w:rPr>
          <w:rFonts w:ascii="宋体" w:hAnsi="宋体" w:eastAsia="宋体" w:cs="宋体"/>
          <w:color w:val="auto"/>
          <w:spacing w:val="-13"/>
          <w:sz w:val="24"/>
          <w:highlight w:val="none"/>
        </w:rPr>
        <w:t>年</w:t>
      </w:r>
      <w:r>
        <w:rPr>
          <w:rFonts w:ascii="宋体" w:hAnsi="宋体" w:eastAsia="宋体" w:cs="宋体"/>
          <w:color w:val="auto"/>
          <w:sz w:val="24"/>
          <w:highlight w:val="none"/>
          <w:u w:val="single"/>
        </w:rPr>
        <w:t xml:space="preserve">    </w:t>
      </w:r>
      <w:r>
        <w:rPr>
          <w:rFonts w:ascii="宋体" w:hAnsi="宋体" w:eastAsia="宋体" w:cs="宋体"/>
          <w:color w:val="auto"/>
          <w:spacing w:val="-104"/>
          <w:sz w:val="24"/>
          <w:highlight w:val="none"/>
        </w:rPr>
        <w:t xml:space="preserve"> </w:t>
      </w:r>
      <w:r>
        <w:rPr>
          <w:rFonts w:ascii="宋体" w:hAnsi="宋体" w:eastAsia="宋体" w:cs="宋体"/>
          <w:color w:val="auto"/>
          <w:spacing w:val="-13"/>
          <w:sz w:val="24"/>
          <w:highlight w:val="none"/>
        </w:rPr>
        <w:t>月</w:t>
      </w:r>
      <w:r>
        <w:rPr>
          <w:rFonts w:ascii="宋体" w:hAnsi="宋体" w:eastAsia="宋体" w:cs="宋体"/>
          <w:color w:val="auto"/>
          <w:sz w:val="24"/>
          <w:highlight w:val="none"/>
          <w:u w:val="single"/>
        </w:rPr>
        <w:t xml:space="preserve">    </w:t>
      </w:r>
      <w:r>
        <w:rPr>
          <w:rFonts w:ascii="宋体" w:hAnsi="宋体" w:eastAsia="宋体" w:cs="宋体"/>
          <w:color w:val="auto"/>
          <w:spacing w:val="-70"/>
          <w:sz w:val="24"/>
          <w:highlight w:val="none"/>
        </w:rPr>
        <w:t xml:space="preserve"> </w:t>
      </w:r>
      <w:r>
        <w:rPr>
          <w:rFonts w:ascii="宋体" w:hAnsi="宋体" w:eastAsia="宋体" w:cs="宋体"/>
          <w:color w:val="auto"/>
          <w:spacing w:val="-13"/>
          <w:sz w:val="24"/>
          <w:highlight w:val="none"/>
        </w:rPr>
        <w:t>日</w:t>
      </w:r>
    </w:p>
    <w:p w14:paraId="065B99A7">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60F93A5">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162DE2C">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1B0DC73">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9CA175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B48196C">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27E5964">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3942C62">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C2C312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1175563">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DC212EA">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5BC2C05">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3D8EDD7">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09C2E8C0">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DF0D599">
      <w:pPr>
        <w:pStyle w:val="33"/>
        <w:spacing w:beforeAutospacing="0" w:afterAutospacing="0" w:line="360" w:lineRule="auto"/>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51DCACE2">
      <w:pPr>
        <w:pStyle w:val="33"/>
        <w:spacing w:beforeAutospacing="0" w:afterAutospacing="0" w:line="360" w:lineRule="auto"/>
        <w:ind w:firstLine="480"/>
        <w:jc w:val="both"/>
        <w:rPr>
          <w:color w:val="auto"/>
          <w:highlight w:val="none"/>
        </w:rPr>
      </w:pPr>
      <w:bookmarkStart w:id="194"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94"/>
    </w:p>
    <w:p w14:paraId="2C4AFE67">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BC689F5">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E0EB40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61AD14DF">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3A1394CC">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6833C297">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E936B74">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C270805">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688B75D4">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027AC190">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21E6ED0">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AD3D370">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B331AA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6A506CB9">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24C3A25">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07D01510">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0DDBCB8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54761CE6">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5AEED1B">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FD6FAF3">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80DA2B6">
      <w:pPr>
        <w:pStyle w:val="33"/>
        <w:spacing w:beforeAutospacing="0" w:afterAutospacing="0" w:line="360" w:lineRule="auto"/>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1EE0CD48">
      <w:pPr>
        <w:pStyle w:val="33"/>
        <w:spacing w:beforeAutospacing="0" w:afterAutospacing="0" w:line="360" w:lineRule="auto"/>
        <w:jc w:val="both"/>
        <w:rPr>
          <w:color w:val="auto"/>
          <w:highlight w:val="none"/>
        </w:rPr>
      </w:pPr>
      <w:r>
        <w:rPr>
          <w:rFonts w:hint="eastAsia" w:ascii="宋体" w:hAnsi="宋体" w:eastAsia="宋体" w:cs="宋体"/>
          <w:b/>
          <w:color w:val="auto"/>
          <w:sz w:val="44"/>
          <w:szCs w:val="44"/>
          <w:highlight w:val="none"/>
        </w:rPr>
        <w:t>           声  明</w:t>
      </w:r>
    </w:p>
    <w:p w14:paraId="66BB1B1C">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1F1077C">
      <w:pPr>
        <w:spacing w:before="34" w:line="341" w:lineRule="auto"/>
        <w:ind w:left="9" w:right="113" w:firstLine="474"/>
        <w:rPr>
          <w:rFonts w:hint="eastAsia" w:ascii="宋体" w:hAnsi="宋体" w:eastAsia="宋体" w:cs="宋体"/>
          <w:color w:val="auto"/>
          <w:sz w:val="24"/>
          <w:highlight w:val="none"/>
        </w:rPr>
      </w:pPr>
      <w:r>
        <w:rPr>
          <w:rFonts w:ascii="宋体" w:hAnsi="宋体" w:eastAsia="宋体" w:cs="宋体"/>
          <w:color w:val="auto"/>
          <w:spacing w:val="-2"/>
          <w:sz w:val="24"/>
          <w:highlight w:val="none"/>
        </w:rPr>
        <w:t>我单位负责人为同一人或存在控股、管理关系的不同单位，不同时参加本项目投标，</w:t>
      </w:r>
      <w:r>
        <w:rPr>
          <w:rFonts w:ascii="宋体" w:hAnsi="宋体" w:eastAsia="宋体" w:cs="宋体"/>
          <w:color w:val="auto"/>
          <w:spacing w:val="8"/>
          <w:sz w:val="24"/>
          <w:highlight w:val="none"/>
        </w:rPr>
        <w:t xml:space="preserve"> </w:t>
      </w:r>
      <w:r>
        <w:rPr>
          <w:rFonts w:ascii="宋体" w:hAnsi="宋体" w:eastAsia="宋体" w:cs="宋体"/>
          <w:color w:val="auto"/>
          <w:spacing w:val="-5"/>
          <w:sz w:val="24"/>
          <w:highlight w:val="none"/>
        </w:rPr>
        <w:t>否则相关投标均无效。</w:t>
      </w:r>
    </w:p>
    <w:p w14:paraId="27AB9D79">
      <w:pPr>
        <w:spacing w:before="34" w:line="345" w:lineRule="auto"/>
        <w:ind w:right="179" w:firstLine="484"/>
        <w:rPr>
          <w:rFonts w:hint="eastAsia" w:ascii="宋体" w:hAnsi="宋体" w:eastAsia="宋体" w:cs="宋体"/>
          <w:color w:val="auto"/>
          <w:sz w:val="24"/>
          <w:highlight w:val="none"/>
        </w:rPr>
      </w:pPr>
      <w:r>
        <w:rPr>
          <w:rFonts w:ascii="宋体" w:hAnsi="宋体" w:eastAsia="宋体" w:cs="宋体"/>
          <w:color w:val="auto"/>
          <w:spacing w:val="-1"/>
          <w:sz w:val="24"/>
          <w:highlight w:val="none"/>
        </w:rPr>
        <w:t>我单位承诺未被列入“信用中国”网(www.creditchina.gov.cn)、中国政府采购网</w:t>
      </w:r>
      <w:r>
        <w:rPr>
          <w:rFonts w:ascii="宋体" w:hAnsi="宋体" w:eastAsia="宋体" w:cs="宋体"/>
          <w:color w:val="auto"/>
          <w:spacing w:val="7"/>
          <w:sz w:val="24"/>
          <w:highlight w:val="none"/>
        </w:rPr>
        <w:t xml:space="preserve">  </w:t>
      </w:r>
      <w:r>
        <w:rPr>
          <w:rFonts w:ascii="宋体" w:hAnsi="宋体" w:eastAsia="宋体" w:cs="宋体"/>
          <w:color w:val="auto"/>
          <w:sz w:val="24"/>
          <w:highlight w:val="none"/>
        </w:rPr>
        <w:t>(www.ccgp.gov.cn)渠道信用记录失信被执行人、重大税收违法案件当</w:t>
      </w:r>
      <w:r>
        <w:rPr>
          <w:rFonts w:ascii="宋体" w:hAnsi="宋体" w:eastAsia="宋体" w:cs="宋体"/>
          <w:color w:val="auto"/>
          <w:spacing w:val="-1"/>
          <w:sz w:val="24"/>
          <w:highlight w:val="none"/>
        </w:rPr>
        <w:t>事人名单、政府采</w:t>
      </w:r>
      <w:r>
        <w:rPr>
          <w:rFonts w:ascii="宋体" w:hAnsi="宋体" w:eastAsia="宋体" w:cs="宋体"/>
          <w:color w:val="auto"/>
          <w:sz w:val="24"/>
          <w:highlight w:val="none"/>
        </w:rPr>
        <w:t xml:space="preserve"> </w:t>
      </w:r>
      <w:r>
        <w:rPr>
          <w:rFonts w:ascii="宋体" w:hAnsi="宋体" w:eastAsia="宋体" w:cs="宋体"/>
          <w:color w:val="auto"/>
          <w:spacing w:val="-3"/>
          <w:sz w:val="24"/>
          <w:highlight w:val="none"/>
        </w:rPr>
        <w:t>购严重违法失信行为记录名单。</w:t>
      </w:r>
    </w:p>
    <w:p w14:paraId="39D3E869">
      <w:pPr>
        <w:spacing w:line="270" w:lineRule="auto"/>
        <w:rPr>
          <w:color w:val="auto"/>
          <w:highlight w:val="none"/>
        </w:rPr>
      </w:pPr>
    </w:p>
    <w:p w14:paraId="77620478">
      <w:pPr>
        <w:spacing w:line="270" w:lineRule="auto"/>
        <w:rPr>
          <w:color w:val="auto"/>
          <w:highlight w:val="none"/>
        </w:rPr>
      </w:pPr>
    </w:p>
    <w:p w14:paraId="038BCFE4">
      <w:pPr>
        <w:spacing w:line="271" w:lineRule="auto"/>
        <w:rPr>
          <w:color w:val="auto"/>
          <w:highlight w:val="none"/>
        </w:rPr>
      </w:pPr>
    </w:p>
    <w:p w14:paraId="0D94BF33">
      <w:pPr>
        <w:spacing w:before="78" w:line="219" w:lineRule="auto"/>
        <w:ind w:left="3603"/>
        <w:rPr>
          <w:rFonts w:hint="eastAsia" w:ascii="宋体" w:hAnsi="宋体" w:eastAsia="宋体" w:cs="宋体"/>
          <w:color w:val="auto"/>
          <w:sz w:val="24"/>
          <w:highlight w:val="none"/>
        </w:rPr>
      </w:pPr>
      <w:r>
        <w:rPr>
          <w:rFonts w:ascii="宋体" w:hAnsi="宋体" w:eastAsia="宋体" w:cs="宋体"/>
          <w:color w:val="auto"/>
          <w:spacing w:val="-7"/>
          <w:sz w:val="24"/>
          <w:highlight w:val="none"/>
        </w:rPr>
        <w:t>供应商名称（公章</w:t>
      </w:r>
      <w:r>
        <w:rPr>
          <w:rFonts w:ascii="宋体" w:hAnsi="宋体" w:eastAsia="宋体" w:cs="宋体"/>
          <w:color w:val="auto"/>
          <w:spacing w:val="-2"/>
          <w:sz w:val="24"/>
          <w:highlight w:val="none"/>
        </w:rPr>
        <w:t>）：</w:t>
      </w:r>
    </w:p>
    <w:p w14:paraId="7AB9DD99">
      <w:pPr>
        <w:spacing w:before="174" w:line="341" w:lineRule="auto"/>
        <w:ind w:left="210" w:firstLine="3480"/>
        <w:rPr>
          <w:rFonts w:hint="eastAsia" w:ascii="宋体" w:hAnsi="宋体" w:eastAsia="宋体" w:cs="宋体"/>
          <w:color w:val="auto"/>
          <w:spacing w:val="1"/>
          <w:sz w:val="24"/>
          <w:highlight w:val="none"/>
        </w:rPr>
      </w:pPr>
      <w:r>
        <w:rPr>
          <w:rFonts w:ascii="宋体" w:hAnsi="宋体" w:eastAsia="宋体" w:cs="宋体"/>
          <w:color w:val="auto"/>
          <w:spacing w:val="-4"/>
          <w:sz w:val="24"/>
          <w:highlight w:val="none"/>
        </w:rPr>
        <w:t>法定代表人或授权委托人（签字或盖章</w:t>
      </w:r>
      <w:r>
        <w:rPr>
          <w:rFonts w:ascii="宋体" w:hAnsi="宋体" w:eastAsia="宋体" w:cs="宋体"/>
          <w:color w:val="auto"/>
          <w:sz w:val="24"/>
          <w:highlight w:val="none"/>
        </w:rPr>
        <w:t>）：</w:t>
      </w:r>
      <w:r>
        <w:rPr>
          <w:rFonts w:ascii="宋体" w:hAnsi="宋体" w:eastAsia="宋体" w:cs="宋体"/>
          <w:color w:val="auto"/>
          <w:spacing w:val="1"/>
          <w:sz w:val="24"/>
          <w:highlight w:val="none"/>
        </w:rPr>
        <w:t xml:space="preserve"> </w:t>
      </w:r>
    </w:p>
    <w:p w14:paraId="400C6A2E">
      <w:pPr>
        <w:spacing w:before="174" w:line="341" w:lineRule="auto"/>
        <w:ind w:left="210" w:firstLine="3424"/>
        <w:rPr>
          <w:rFonts w:hint="eastAsia" w:ascii="宋体" w:hAnsi="宋体" w:eastAsia="宋体" w:cs="宋体"/>
          <w:color w:val="auto"/>
          <w:sz w:val="24"/>
          <w:highlight w:val="none"/>
        </w:rPr>
      </w:pPr>
      <w:r>
        <w:rPr>
          <w:rFonts w:ascii="宋体" w:hAnsi="宋体" w:eastAsia="宋体" w:cs="宋体"/>
          <w:color w:val="auto"/>
          <w:spacing w:val="-13"/>
          <w:sz w:val="24"/>
          <w:highlight w:val="none"/>
        </w:rPr>
        <w:t>日期：</w:t>
      </w:r>
      <w:r>
        <w:rPr>
          <w:rFonts w:ascii="宋体" w:hAnsi="宋体" w:eastAsia="宋体" w:cs="宋体"/>
          <w:color w:val="auto"/>
          <w:sz w:val="24"/>
          <w:highlight w:val="none"/>
          <w:u w:val="single"/>
        </w:rPr>
        <w:t xml:space="preserve">      </w:t>
      </w:r>
      <w:r>
        <w:rPr>
          <w:rFonts w:ascii="宋体" w:hAnsi="宋体" w:eastAsia="宋体" w:cs="宋体"/>
          <w:color w:val="auto"/>
          <w:spacing w:val="-109"/>
          <w:sz w:val="24"/>
          <w:highlight w:val="none"/>
        </w:rPr>
        <w:t xml:space="preserve"> </w:t>
      </w:r>
      <w:r>
        <w:rPr>
          <w:rFonts w:ascii="宋体" w:hAnsi="宋体" w:eastAsia="宋体" w:cs="宋体"/>
          <w:color w:val="auto"/>
          <w:spacing w:val="-13"/>
          <w:sz w:val="24"/>
          <w:highlight w:val="none"/>
        </w:rPr>
        <w:t>年</w:t>
      </w:r>
      <w:r>
        <w:rPr>
          <w:rFonts w:ascii="宋体" w:hAnsi="宋体" w:eastAsia="宋体" w:cs="宋体"/>
          <w:color w:val="auto"/>
          <w:spacing w:val="-119"/>
          <w:sz w:val="24"/>
          <w:highlight w:val="none"/>
        </w:rPr>
        <w:t xml:space="preserve"> </w:t>
      </w:r>
      <w:r>
        <w:rPr>
          <w:rFonts w:ascii="宋体" w:hAnsi="宋体" w:eastAsia="宋体" w:cs="宋体"/>
          <w:color w:val="auto"/>
          <w:sz w:val="24"/>
          <w:highlight w:val="none"/>
          <w:u w:val="single"/>
        </w:rPr>
        <w:t xml:space="preserve">    </w:t>
      </w:r>
      <w:r>
        <w:rPr>
          <w:rFonts w:ascii="宋体" w:hAnsi="宋体" w:eastAsia="宋体" w:cs="宋体"/>
          <w:color w:val="auto"/>
          <w:spacing w:val="-105"/>
          <w:sz w:val="24"/>
          <w:highlight w:val="none"/>
        </w:rPr>
        <w:t xml:space="preserve"> </w:t>
      </w:r>
      <w:r>
        <w:rPr>
          <w:rFonts w:ascii="宋体" w:hAnsi="宋体" w:eastAsia="宋体" w:cs="宋体"/>
          <w:color w:val="auto"/>
          <w:spacing w:val="-13"/>
          <w:sz w:val="24"/>
          <w:highlight w:val="none"/>
        </w:rPr>
        <w:t>月</w:t>
      </w:r>
      <w:r>
        <w:rPr>
          <w:rFonts w:ascii="宋体" w:hAnsi="宋体" w:eastAsia="宋体" w:cs="宋体"/>
          <w:color w:val="auto"/>
          <w:sz w:val="24"/>
          <w:highlight w:val="none"/>
          <w:u w:val="single"/>
        </w:rPr>
        <w:t xml:space="preserve">    </w:t>
      </w:r>
      <w:r>
        <w:rPr>
          <w:rFonts w:ascii="宋体" w:hAnsi="宋体" w:eastAsia="宋体" w:cs="宋体"/>
          <w:color w:val="auto"/>
          <w:spacing w:val="-69"/>
          <w:sz w:val="24"/>
          <w:highlight w:val="none"/>
        </w:rPr>
        <w:t xml:space="preserve"> </w:t>
      </w:r>
      <w:r>
        <w:rPr>
          <w:rFonts w:ascii="宋体" w:hAnsi="宋体" w:eastAsia="宋体" w:cs="宋体"/>
          <w:color w:val="auto"/>
          <w:spacing w:val="-13"/>
          <w:sz w:val="24"/>
          <w:highlight w:val="none"/>
        </w:rPr>
        <w:t>日</w:t>
      </w:r>
    </w:p>
    <w:p w14:paraId="483BCC05">
      <w:pPr>
        <w:pStyle w:val="33"/>
        <w:spacing w:beforeAutospacing="0" w:afterAutospacing="0" w:line="360" w:lineRule="auto"/>
        <w:jc w:val="both"/>
        <w:rPr>
          <w:color w:val="auto"/>
          <w:highlight w:val="none"/>
        </w:rPr>
      </w:pPr>
    </w:p>
    <w:p w14:paraId="675D002B">
      <w:pPr>
        <w:pStyle w:val="33"/>
        <w:spacing w:beforeAutospacing="0" w:afterAutospacing="0" w:line="360" w:lineRule="auto"/>
        <w:jc w:val="both"/>
        <w:rPr>
          <w:color w:val="auto"/>
          <w:highlight w:val="none"/>
        </w:rPr>
      </w:pPr>
      <w:r>
        <w:rPr>
          <w:color w:val="auto"/>
          <w:highlight w:val="none"/>
        </w:rPr>
        <w:t> </w:t>
      </w:r>
    </w:p>
    <w:p w14:paraId="2061EEA4">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7411F794">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0ED4AF08">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5B6BF04">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0C873CA4">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44C6681">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29FE4BE6">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41763DF6">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10E8EB92">
      <w:pPr>
        <w:pStyle w:val="33"/>
        <w:spacing w:beforeAutospacing="0" w:afterAutospacing="0" w:line="360" w:lineRule="auto"/>
        <w:jc w:val="both"/>
        <w:rPr>
          <w:rFonts w:hint="eastAsia" w:ascii="黑体" w:hAnsi="宋体" w:eastAsia="黑体" w:cs="黑体"/>
          <w:i/>
          <w:color w:val="auto"/>
          <w:sz w:val="32"/>
          <w:szCs w:val="32"/>
          <w:highlight w:val="none"/>
          <w:u w:val="single"/>
        </w:rPr>
      </w:pPr>
    </w:p>
    <w:p w14:paraId="038D6F77">
      <w:pPr>
        <w:pStyle w:val="33"/>
        <w:spacing w:beforeAutospacing="0" w:afterAutospacing="0" w:line="360" w:lineRule="auto"/>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77F2BF3C">
      <w:pPr>
        <w:pStyle w:val="33"/>
        <w:spacing w:beforeAutospacing="0" w:afterAutospacing="0" w:line="360" w:lineRule="auto"/>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46385D56">
      <w:pPr>
        <w:pStyle w:val="33"/>
        <w:spacing w:beforeAutospacing="0" w:afterAutospacing="0" w:line="360" w:lineRule="auto"/>
        <w:jc w:val="both"/>
        <w:rPr>
          <w:color w:val="auto"/>
          <w:highlight w:val="none"/>
        </w:rPr>
      </w:pPr>
      <w:r>
        <w:rPr>
          <w:color w:val="auto"/>
          <w:highlight w:val="none"/>
        </w:rPr>
        <w:t> </w:t>
      </w:r>
    </w:p>
    <w:p w14:paraId="58CFE7A3">
      <w:pPr>
        <w:pStyle w:val="33"/>
        <w:spacing w:beforeAutospacing="0" w:afterAutospacing="0" w:line="360" w:lineRule="auto"/>
        <w:jc w:val="both"/>
        <w:rPr>
          <w:color w:val="auto"/>
          <w:highlight w:val="none"/>
        </w:rPr>
      </w:pPr>
    </w:p>
    <w:p w14:paraId="29FD31AC">
      <w:pPr>
        <w:pStyle w:val="33"/>
        <w:spacing w:beforeAutospacing="0" w:afterAutospacing="0" w:line="360" w:lineRule="auto"/>
        <w:jc w:val="both"/>
        <w:rPr>
          <w:color w:val="auto"/>
          <w:highlight w:val="none"/>
        </w:rPr>
      </w:pPr>
    </w:p>
    <w:p w14:paraId="66208851">
      <w:pPr>
        <w:pStyle w:val="33"/>
        <w:spacing w:beforeAutospacing="0" w:afterAutospacing="0" w:line="360" w:lineRule="auto"/>
        <w:jc w:val="both"/>
        <w:rPr>
          <w:color w:val="auto"/>
          <w:highlight w:val="none"/>
        </w:rPr>
      </w:pPr>
    </w:p>
    <w:p w14:paraId="6722CA5E">
      <w:pPr>
        <w:pStyle w:val="33"/>
        <w:spacing w:beforeAutospacing="0" w:afterAutospacing="0" w:line="360" w:lineRule="auto"/>
        <w:jc w:val="both"/>
        <w:rPr>
          <w:color w:val="auto"/>
          <w:highlight w:val="none"/>
        </w:rPr>
      </w:pPr>
    </w:p>
    <w:p w14:paraId="23B3BB39">
      <w:pPr>
        <w:pStyle w:val="33"/>
        <w:spacing w:beforeAutospacing="0" w:afterAutospacing="0" w:line="360" w:lineRule="auto"/>
        <w:jc w:val="both"/>
        <w:rPr>
          <w:color w:val="auto"/>
          <w:highlight w:val="none"/>
        </w:rPr>
      </w:pPr>
    </w:p>
    <w:p w14:paraId="26EE470B">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3B3F6F1F">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7148ABA8">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0EF852AF">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3FC87190">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052FB688">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7F6BC0E2">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4A93C164">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2D22EBE4">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77DC8BD7">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077D84BC">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18CA9D84">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59FA1940">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1E24904F">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1C43A26F">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3C92A9A9">
      <w:pPr>
        <w:pStyle w:val="33"/>
        <w:spacing w:beforeAutospacing="0" w:afterAutospacing="0" w:line="360" w:lineRule="auto"/>
        <w:jc w:val="center"/>
        <w:rPr>
          <w:rFonts w:hint="eastAsia" w:ascii="黑体" w:hAnsi="宋体" w:eastAsia="黑体" w:cs="黑体"/>
          <w:i/>
          <w:color w:val="auto"/>
          <w:sz w:val="32"/>
          <w:szCs w:val="32"/>
          <w:highlight w:val="none"/>
          <w:u w:val="single"/>
        </w:rPr>
      </w:pPr>
    </w:p>
    <w:p w14:paraId="17F95F42">
      <w:pPr>
        <w:pStyle w:val="33"/>
        <w:spacing w:beforeAutospacing="0" w:afterAutospacing="0" w:line="360" w:lineRule="auto"/>
        <w:jc w:val="center"/>
        <w:rPr>
          <w:color w:val="auto"/>
          <w:highlight w:val="none"/>
        </w:rPr>
      </w:pPr>
      <w:r>
        <w:rPr>
          <w:rFonts w:hint="eastAsia" w:ascii="黑体" w:hAnsi="宋体" w:eastAsia="黑体" w:cs="黑体"/>
          <w:i/>
          <w:color w:val="auto"/>
          <w:sz w:val="32"/>
          <w:szCs w:val="32"/>
          <w:highlight w:val="none"/>
          <w:u w:val="single"/>
        </w:rPr>
        <w:t>七、法人授权书</w:t>
      </w:r>
    </w:p>
    <w:p w14:paraId="69495170">
      <w:pPr>
        <w:pStyle w:val="33"/>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w:t>
      </w:r>
      <w:r>
        <w:rPr>
          <w:rFonts w:hint="eastAsia" w:ascii="Times New Roman" w:hAnsi="Times New Roman"/>
          <w:color w:val="auto"/>
          <w:highlight w:val="none"/>
        </w:rPr>
        <w:t xml:space="preserve"> </w:t>
      </w:r>
      <w:r>
        <w:rPr>
          <w:rFonts w:hint="eastAsia" w:ascii="Times New Roman" w:hAnsi="Times New Roman"/>
          <w:color w:val="auto"/>
          <w:highlight w:val="none"/>
          <w:u w:val="single"/>
        </w:rPr>
        <w:t xml:space="preserve">        </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3610CC29">
      <w:pPr>
        <w:pStyle w:val="33"/>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本授权书于______年____月____日起生效，特此声明。</w:t>
      </w:r>
    </w:p>
    <w:p w14:paraId="739A31FD">
      <w:pPr>
        <w:pStyle w:val="33"/>
        <w:tabs>
          <w:tab w:val="left" w:pos="360"/>
        </w:tabs>
        <w:spacing w:beforeAutospacing="0" w:afterAutospacing="0" w:line="360" w:lineRule="auto"/>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41E315D9">
      <w:pPr>
        <w:pStyle w:val="33"/>
        <w:tabs>
          <w:tab w:val="left" w:pos="360"/>
        </w:tabs>
        <w:spacing w:beforeAutospacing="0" w:afterAutospacing="0" w:line="360" w:lineRule="auto"/>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13E26439">
      <w:pPr>
        <w:pStyle w:val="33"/>
        <w:tabs>
          <w:tab w:val="left" w:pos="360"/>
        </w:tabs>
        <w:spacing w:beforeAutospacing="0" w:afterAutospacing="0" w:line="360" w:lineRule="auto"/>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24DFD36D">
      <w:pPr>
        <w:pStyle w:val="33"/>
        <w:tabs>
          <w:tab w:val="left" w:pos="360"/>
        </w:tabs>
        <w:spacing w:beforeAutospacing="0" w:afterAutospacing="0" w:line="360" w:lineRule="auto"/>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4A50D225">
      <w:pPr>
        <w:pStyle w:val="33"/>
        <w:tabs>
          <w:tab w:val="left" w:pos="360"/>
        </w:tabs>
        <w:spacing w:beforeAutospacing="0" w:afterAutospacing="0" w:line="360" w:lineRule="auto"/>
        <w:ind w:firstLine="480"/>
        <w:jc w:val="both"/>
        <w:rPr>
          <w:rFonts w:ascii="Times New Roman" w:hAnsi="Times New Roman"/>
          <w:color w:val="auto"/>
          <w:highlight w:val="none"/>
          <w:u w:val="single"/>
        </w:rPr>
      </w:pPr>
      <w:r>
        <w:rPr>
          <w:rFonts w:ascii="Times New Roman" w:hAnsi="Times New Roman"/>
          <w:color w:val="auto"/>
          <w:highlight w:val="none"/>
        </w:rPr>
        <w:t>      日期：</w:t>
      </w:r>
      <w:bookmarkStart w:id="195" w:name="_Hlt26671380"/>
      <w:bookmarkStart w:id="196" w:name="_格式3__银行出具的资信证明"/>
      <w:bookmarkStart w:id="197" w:name="_Hlt26955070"/>
      <w:r>
        <w:rPr>
          <w:rFonts w:ascii="Times New Roman" w:hAnsi="Times New Roman"/>
          <w:color w:val="auto"/>
          <w:highlight w:val="none"/>
          <w:u w:val="single"/>
        </w:rPr>
        <w:t xml:space="preserve">                                         </w:t>
      </w:r>
    </w:p>
    <w:p w14:paraId="59B28FDB">
      <w:pPr>
        <w:pStyle w:val="33"/>
        <w:tabs>
          <w:tab w:val="left" w:pos="360"/>
        </w:tabs>
        <w:spacing w:beforeAutospacing="0" w:afterAutospacing="0" w:line="360" w:lineRule="auto"/>
        <w:ind w:firstLine="480"/>
        <w:jc w:val="both"/>
        <w:rPr>
          <w:color w:val="auto"/>
          <w:highlight w:val="none"/>
        </w:rPr>
      </w:pPr>
    </w:p>
    <w:p w14:paraId="147AA8BD">
      <w:pPr>
        <w:pStyle w:val="33"/>
        <w:spacing w:beforeAutospacing="0" w:afterAutospacing="0" w:line="360" w:lineRule="auto"/>
        <w:ind w:firstLine="420"/>
        <w:jc w:val="both"/>
        <w:rPr>
          <w:color w:val="auto"/>
          <w:highlight w:val="none"/>
        </w:rPr>
      </w:pPr>
      <w:r>
        <w:rPr>
          <w:color w:val="auto"/>
          <w:highlight w:val="none"/>
        </w:rPr>
        <w:t> </w:t>
      </w:r>
    </w:p>
    <w:tbl>
      <w:tblPr>
        <w:tblStyle w:val="241"/>
        <w:tblW w:w="86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72"/>
        <w:gridCol w:w="4482"/>
      </w:tblGrid>
      <w:tr w14:paraId="319A4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5" w:hRule="atLeast"/>
          <w:jc w:val="center"/>
        </w:trPr>
        <w:tc>
          <w:tcPr>
            <w:tcW w:w="4172" w:type="dxa"/>
            <w:noWrap w:val="0"/>
          </w:tcPr>
          <w:p w14:paraId="36014848">
            <w:pPr>
              <w:widowControl/>
              <w:spacing w:before="163" w:line="241" w:lineRule="auto"/>
              <w:ind w:left="1724" w:right="1126" w:hanging="599"/>
              <w:jc w:val="left"/>
              <w:rPr>
                <w:rFonts w:hint="eastAsia" w:ascii="宋体" w:hAnsi="宋体" w:eastAsia="宋体" w:cs="宋体"/>
                <w:color w:val="auto"/>
                <w:sz w:val="24"/>
                <w:highlight w:val="none"/>
              </w:rPr>
            </w:pPr>
            <w:r>
              <w:rPr>
                <w:rFonts w:ascii="宋体" w:hAnsi="宋体" w:eastAsia="宋体" w:cs="宋体"/>
                <w:color w:val="auto"/>
                <w:spacing w:val="-2"/>
                <w:sz w:val="24"/>
                <w:highlight w:val="none"/>
              </w:rPr>
              <w:t>法人身份证复印件</w:t>
            </w:r>
            <w:r>
              <w:rPr>
                <w:rFonts w:ascii="宋体" w:hAnsi="宋体" w:eastAsia="宋体" w:cs="宋体"/>
                <w:color w:val="auto"/>
                <w:spacing w:val="4"/>
                <w:sz w:val="24"/>
                <w:highlight w:val="none"/>
              </w:rPr>
              <w:t xml:space="preserve"> </w:t>
            </w:r>
            <w:r>
              <w:rPr>
                <w:rFonts w:ascii="宋体" w:hAnsi="宋体" w:eastAsia="宋体" w:cs="宋体"/>
                <w:color w:val="auto"/>
                <w:spacing w:val="-3"/>
                <w:sz w:val="24"/>
                <w:highlight w:val="none"/>
              </w:rPr>
              <w:t>粘贴区</w:t>
            </w:r>
          </w:p>
        </w:tc>
        <w:tc>
          <w:tcPr>
            <w:tcW w:w="4482" w:type="dxa"/>
            <w:noWrap w:val="0"/>
          </w:tcPr>
          <w:p w14:paraId="4E03159F">
            <w:pPr>
              <w:widowControl/>
              <w:spacing w:before="163" w:line="241" w:lineRule="auto"/>
              <w:ind w:left="1884" w:right="1036" w:hanging="840"/>
              <w:jc w:val="left"/>
              <w:rPr>
                <w:rFonts w:hint="eastAsia" w:ascii="宋体" w:hAnsi="宋体" w:eastAsia="宋体" w:cs="宋体"/>
                <w:color w:val="auto"/>
                <w:sz w:val="24"/>
                <w:highlight w:val="none"/>
              </w:rPr>
            </w:pPr>
            <w:r>
              <w:rPr>
                <w:rFonts w:ascii="宋体" w:hAnsi="宋体" w:eastAsia="宋体" w:cs="宋体"/>
                <w:color w:val="auto"/>
                <w:spacing w:val="-1"/>
                <w:sz w:val="24"/>
                <w:highlight w:val="none"/>
              </w:rPr>
              <w:t>被授权人身份证复印件</w:t>
            </w:r>
            <w:r>
              <w:rPr>
                <w:rFonts w:ascii="宋体" w:hAnsi="宋体" w:eastAsia="宋体" w:cs="宋体"/>
                <w:color w:val="auto"/>
                <w:sz w:val="24"/>
                <w:highlight w:val="none"/>
              </w:rPr>
              <w:t xml:space="preserve"> </w:t>
            </w:r>
            <w:r>
              <w:rPr>
                <w:rFonts w:ascii="宋体" w:hAnsi="宋体" w:eastAsia="宋体" w:cs="宋体"/>
                <w:color w:val="auto"/>
                <w:spacing w:val="-3"/>
                <w:sz w:val="24"/>
                <w:highlight w:val="none"/>
              </w:rPr>
              <w:t>粘贴区</w:t>
            </w:r>
          </w:p>
        </w:tc>
      </w:tr>
    </w:tbl>
    <w:p w14:paraId="3F50833C">
      <w:pPr>
        <w:pStyle w:val="33"/>
        <w:spacing w:beforeAutospacing="0" w:afterAutospacing="0" w:line="360" w:lineRule="auto"/>
        <w:ind w:firstLine="420"/>
        <w:jc w:val="both"/>
        <w:rPr>
          <w:color w:val="auto"/>
          <w:highlight w:val="none"/>
        </w:rPr>
      </w:pPr>
    </w:p>
    <w:p w14:paraId="56CFA816">
      <w:pPr>
        <w:pStyle w:val="33"/>
        <w:spacing w:beforeAutospacing="0" w:afterAutospacing="0" w:line="360" w:lineRule="auto"/>
        <w:jc w:val="both"/>
        <w:rPr>
          <w:color w:val="auto"/>
          <w:highlight w:val="none"/>
        </w:rPr>
      </w:pPr>
      <w:r>
        <w:rPr>
          <w:color w:val="auto"/>
          <w:highlight w:val="none"/>
        </w:rPr>
        <w:t> </w:t>
      </w:r>
    </w:p>
    <w:p w14:paraId="2D904B1F">
      <w:pPr>
        <w:pStyle w:val="33"/>
        <w:spacing w:beforeAutospacing="0" w:afterAutospacing="0" w:line="360" w:lineRule="auto"/>
        <w:jc w:val="both"/>
        <w:rPr>
          <w:color w:val="auto"/>
          <w:highlight w:val="none"/>
        </w:rPr>
      </w:pPr>
      <w:r>
        <w:rPr>
          <w:color w:val="auto"/>
          <w:highlight w:val="none"/>
        </w:rPr>
        <w:t> </w:t>
      </w:r>
    </w:p>
    <w:p w14:paraId="186B0535">
      <w:pPr>
        <w:pStyle w:val="33"/>
        <w:spacing w:beforeAutospacing="0" w:afterAutospacing="0" w:line="360" w:lineRule="auto"/>
        <w:jc w:val="both"/>
        <w:rPr>
          <w:color w:val="auto"/>
          <w:highlight w:val="none"/>
        </w:rPr>
      </w:pPr>
      <w:r>
        <w:rPr>
          <w:color w:val="auto"/>
          <w:highlight w:val="none"/>
        </w:rPr>
        <w:t> </w:t>
      </w:r>
    </w:p>
    <w:p w14:paraId="6D2C7953">
      <w:pPr>
        <w:pStyle w:val="33"/>
        <w:spacing w:beforeAutospacing="0" w:afterAutospacing="0" w:line="360" w:lineRule="auto"/>
        <w:jc w:val="center"/>
        <w:rPr>
          <w:rFonts w:hint="eastAsia"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黑体" w:hAnsi="宋体" w:eastAsia="黑体" w:cs="黑体"/>
          <w:i/>
          <w:color w:val="auto"/>
          <w:sz w:val="32"/>
          <w:szCs w:val="32"/>
          <w:highlight w:val="none"/>
          <w:u w:val="single"/>
        </w:rPr>
        <w:t> 八、投标函</w:t>
      </w:r>
    </w:p>
    <w:p w14:paraId="61860153">
      <w:pPr>
        <w:pStyle w:val="33"/>
        <w:spacing w:beforeAutospacing="0" w:afterAutospacing="0" w:line="360" w:lineRule="auto"/>
        <w:rPr>
          <w:rFonts w:eastAsia="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盐城市大丰区新丰中学</w:t>
      </w:r>
    </w:p>
    <w:p w14:paraId="1121A75A">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根据贵方的 </w:t>
      </w:r>
      <w:r>
        <w:rPr>
          <w:rFonts w:hint="eastAsia"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rPr>
        <w:t>号招标文件，正式授权下述签字人______(姓名)代表我方______________（投标人的名称），全权处理本次项目投标的有关事宜。</w:t>
      </w:r>
    </w:p>
    <w:p w14:paraId="3A53D8EC">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据此函，签字人__________(姓名)兹宣布同意如下：</w:t>
      </w:r>
    </w:p>
    <w:p w14:paraId="330C1D0F">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1.按招标文件规定的各项要求，向买方提供所需服务（包含与服务相关的货物）。</w:t>
      </w:r>
    </w:p>
    <w:p w14:paraId="4F0E81B1">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2.我们完全理解贵方不一定将合同授予最低报价的投标人。</w:t>
      </w:r>
    </w:p>
    <w:p w14:paraId="06AB0D25">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3.我们已详细审核全部招标文件及其有效补充文件，我们知道必须放弃提出含糊不清或误解问题的权利。</w:t>
      </w:r>
    </w:p>
    <w:p w14:paraId="57790E20">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4.我们同意从规定的开标日期起遵循本投标文件，并在规定的投标有效期期满之前均具有约束力。</w:t>
      </w:r>
    </w:p>
    <w:p w14:paraId="74FC8273">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5.同意向贵方提供贵方可能另外要求的与投标有关的任何证据或资料，并保证我方已提供和将要提供的文件是真实的、准确的。</w:t>
      </w:r>
    </w:p>
    <w:p w14:paraId="5CD09533">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6.一旦我方中标,我方将根据招标文件的规定，严格履行合同的责任和义务,并保证在招标文件规定的时间完成项目，交付买方验收、使用。</w:t>
      </w:r>
    </w:p>
    <w:p w14:paraId="5B04FE50">
      <w:pPr>
        <w:spacing w:line="360" w:lineRule="auto"/>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7.与本投标有关的正式通讯地址为：</w:t>
      </w:r>
    </w:p>
    <w:p w14:paraId="1522BE18">
      <w:pPr>
        <w:spacing w:line="360" w:lineRule="auto"/>
        <w:ind w:firstLine="480"/>
        <w:rPr>
          <w:color w:val="auto"/>
          <w:sz w:val="24"/>
          <w:highlight w:val="none"/>
        </w:rPr>
      </w:pPr>
      <w:r>
        <w:rPr>
          <w:rFonts w:hint="eastAsia"/>
          <w:color w:val="auto"/>
          <w:sz w:val="24"/>
          <w:highlight w:val="none"/>
        </w:rPr>
        <w:t>地     址：</w:t>
      </w:r>
    </w:p>
    <w:p w14:paraId="51BA7216">
      <w:pPr>
        <w:spacing w:line="360" w:lineRule="auto"/>
        <w:ind w:firstLine="480"/>
        <w:rPr>
          <w:color w:val="auto"/>
          <w:sz w:val="24"/>
          <w:highlight w:val="none"/>
        </w:rPr>
      </w:pPr>
      <w:r>
        <w:rPr>
          <w:rFonts w:hint="eastAsia"/>
          <w:color w:val="auto"/>
          <w:sz w:val="24"/>
          <w:highlight w:val="none"/>
        </w:rPr>
        <w:t>邮    编：</w:t>
      </w:r>
    </w:p>
    <w:p w14:paraId="0A889F61">
      <w:pPr>
        <w:spacing w:line="360" w:lineRule="auto"/>
        <w:ind w:firstLine="480"/>
        <w:rPr>
          <w:color w:val="auto"/>
          <w:sz w:val="24"/>
          <w:highlight w:val="none"/>
        </w:rPr>
      </w:pPr>
      <w:r>
        <w:rPr>
          <w:rFonts w:hint="eastAsia"/>
          <w:color w:val="auto"/>
          <w:sz w:val="24"/>
          <w:highlight w:val="none"/>
        </w:rPr>
        <w:t>电     话：</w:t>
      </w:r>
    </w:p>
    <w:p w14:paraId="40153F70">
      <w:pPr>
        <w:spacing w:line="360" w:lineRule="auto"/>
        <w:ind w:firstLine="480"/>
        <w:rPr>
          <w:color w:val="auto"/>
          <w:sz w:val="24"/>
          <w:highlight w:val="none"/>
        </w:rPr>
      </w:pPr>
      <w:r>
        <w:rPr>
          <w:rFonts w:hint="eastAsia"/>
          <w:color w:val="auto"/>
          <w:sz w:val="24"/>
          <w:highlight w:val="none"/>
        </w:rPr>
        <w:t>传     真：</w:t>
      </w:r>
    </w:p>
    <w:p w14:paraId="11855B8D">
      <w:pPr>
        <w:spacing w:line="360" w:lineRule="auto"/>
        <w:ind w:firstLine="480"/>
        <w:rPr>
          <w:color w:val="auto"/>
          <w:sz w:val="24"/>
          <w:highlight w:val="none"/>
        </w:rPr>
      </w:pPr>
      <w:r>
        <w:rPr>
          <w:rFonts w:hint="eastAsia"/>
          <w:color w:val="auto"/>
          <w:sz w:val="24"/>
          <w:highlight w:val="none"/>
        </w:rPr>
        <w:t>投标人开户行：</w:t>
      </w:r>
    </w:p>
    <w:p w14:paraId="0EAEA4DA">
      <w:pPr>
        <w:spacing w:line="360" w:lineRule="auto"/>
        <w:ind w:firstLine="480"/>
        <w:rPr>
          <w:color w:val="auto"/>
          <w:sz w:val="24"/>
          <w:highlight w:val="none"/>
        </w:rPr>
      </w:pPr>
      <w:r>
        <w:rPr>
          <w:rFonts w:hint="eastAsia"/>
          <w:color w:val="auto"/>
          <w:sz w:val="24"/>
          <w:highlight w:val="none"/>
        </w:rPr>
        <w:t xml:space="preserve">账     号： </w:t>
      </w:r>
    </w:p>
    <w:p w14:paraId="3A6EA563">
      <w:pPr>
        <w:spacing w:line="360" w:lineRule="auto"/>
        <w:ind w:firstLine="480"/>
        <w:rPr>
          <w:color w:val="auto"/>
          <w:sz w:val="24"/>
          <w:highlight w:val="none"/>
        </w:rPr>
      </w:pPr>
      <w:r>
        <w:rPr>
          <w:rFonts w:hint="eastAsia"/>
          <w:color w:val="auto"/>
          <w:sz w:val="24"/>
          <w:highlight w:val="none"/>
        </w:rPr>
        <w:t>日     期：______年____月____日</w:t>
      </w:r>
    </w:p>
    <w:p w14:paraId="0CD6DF53">
      <w:pPr>
        <w:pStyle w:val="33"/>
        <w:spacing w:beforeAutospacing="0" w:afterAutospacing="0" w:line="360" w:lineRule="auto"/>
        <w:ind w:firstLine="240"/>
        <w:jc w:val="center"/>
        <w:rPr>
          <w:color w:val="auto"/>
          <w:highlight w:val="none"/>
        </w:rPr>
      </w:pPr>
      <w:r>
        <w:rPr>
          <w:color w:val="auto"/>
          <w:highlight w:val="none"/>
        </w:rPr>
        <w:t> </w:t>
      </w:r>
    </w:p>
    <w:p w14:paraId="27CEE5DB">
      <w:pPr>
        <w:spacing w:line="360" w:lineRule="auto"/>
        <w:rPr>
          <w:color w:val="auto"/>
          <w:highlight w:val="none"/>
        </w:rPr>
      </w:pPr>
      <w:r>
        <w:rPr>
          <w:color w:val="auto"/>
          <w:highlight w:val="none"/>
        </w:rPr>
        <w:br w:type="page" w:clear="all"/>
      </w:r>
    </w:p>
    <w:p w14:paraId="4715FEAD">
      <w:pPr>
        <w:pStyle w:val="33"/>
        <w:spacing w:beforeAutospacing="0" w:afterAutospacing="0" w:line="360" w:lineRule="auto"/>
        <w:jc w:val="cente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九、中小企业声明函（服务）</w:t>
      </w:r>
    </w:p>
    <w:p w14:paraId="3F8549A0">
      <w:pPr>
        <w:spacing w:line="360" w:lineRule="auto"/>
        <w:ind w:firstLine="480"/>
        <w:rPr>
          <w:color w:val="auto"/>
          <w:sz w:val="24"/>
          <w:highlight w:val="none"/>
        </w:rPr>
      </w:pPr>
      <w:r>
        <w:rPr>
          <w:rFonts w:hint="eastAsia"/>
          <w:color w:val="auto"/>
          <w:sz w:val="24"/>
          <w:highlight w:val="none"/>
        </w:rPr>
        <w:t>本公司（联合体）郑重声明，根据《政府采购促进中小企业发展管理办法》（财库﹝2020﹞46 号）的规定，本公司（联合体）参加采购人组织的</w:t>
      </w:r>
      <w:r>
        <w:rPr>
          <w:rFonts w:hint="eastAsia"/>
          <w:i/>
          <w:iCs/>
          <w:color w:val="auto"/>
          <w:sz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1BB34639">
      <w:pPr>
        <w:numPr>
          <w:ilvl w:val="0"/>
          <w:numId w:val="3"/>
        </w:numPr>
        <w:spacing w:line="360" w:lineRule="auto"/>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0193FBD5">
      <w:pPr>
        <w:numPr>
          <w:ilvl w:val="0"/>
          <w:numId w:val="3"/>
        </w:numPr>
        <w:spacing w:line="360" w:lineRule="auto"/>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0962C0CB">
      <w:pPr>
        <w:spacing w:line="360" w:lineRule="auto"/>
        <w:ind w:firstLine="480"/>
        <w:rPr>
          <w:color w:val="auto"/>
          <w:sz w:val="24"/>
          <w:highlight w:val="none"/>
        </w:rPr>
      </w:pPr>
      <w:r>
        <w:rPr>
          <w:rFonts w:hint="eastAsia"/>
          <w:color w:val="auto"/>
          <w:sz w:val="24"/>
          <w:highlight w:val="none"/>
        </w:rPr>
        <w:t>……</w:t>
      </w:r>
    </w:p>
    <w:p w14:paraId="7FCB2003">
      <w:pPr>
        <w:spacing w:line="360" w:lineRule="auto"/>
        <w:ind w:firstLine="480"/>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934B715">
      <w:pPr>
        <w:spacing w:line="360" w:lineRule="auto"/>
        <w:ind w:firstLine="480"/>
        <w:rPr>
          <w:color w:val="auto"/>
          <w:sz w:val="24"/>
          <w:highlight w:val="none"/>
        </w:rPr>
      </w:pPr>
      <w:r>
        <w:rPr>
          <w:rFonts w:hint="eastAsia"/>
          <w:color w:val="auto"/>
          <w:sz w:val="24"/>
          <w:highlight w:val="none"/>
        </w:rPr>
        <w:t>本企业对上述声明内容的真实性负责。如有虚假，将依法承担相应责任。</w:t>
      </w:r>
    </w:p>
    <w:p w14:paraId="26DFD89D">
      <w:pPr>
        <w:pStyle w:val="33"/>
        <w:spacing w:beforeAutospacing="0" w:afterAutospacing="0" w:line="360" w:lineRule="auto"/>
        <w:ind w:right="720"/>
        <w:jc w:val="both"/>
        <w:rPr>
          <w:color w:val="auto"/>
          <w:highlight w:val="none"/>
        </w:rPr>
      </w:pPr>
      <w:r>
        <w:rPr>
          <w:color w:val="auto"/>
          <w:highlight w:val="none"/>
        </w:rPr>
        <w:t> </w:t>
      </w:r>
    </w:p>
    <w:p w14:paraId="35D6AE6E">
      <w:pPr>
        <w:pStyle w:val="33"/>
        <w:spacing w:beforeAutospacing="0" w:afterAutospacing="0" w:line="360" w:lineRule="auto"/>
        <w:ind w:right="180" w:firstLine="360"/>
        <w:jc w:val="right"/>
        <w:rPr>
          <w:color w:val="auto"/>
          <w:highlight w:val="none"/>
        </w:rPr>
      </w:pPr>
      <w:r>
        <w:rPr>
          <w:rFonts w:hint="eastAsia" w:ascii="宋体" w:hAnsi="宋体" w:eastAsia="宋体" w:cs="宋体"/>
          <w:color w:val="auto"/>
          <w:highlight w:val="none"/>
        </w:rPr>
        <w:t>企业名称（加盖CA电子公章）：</w:t>
      </w:r>
    </w:p>
    <w:p w14:paraId="7C0421E6">
      <w:pPr>
        <w:pStyle w:val="33"/>
        <w:spacing w:beforeAutospacing="0" w:afterAutospacing="0" w:line="360" w:lineRule="auto"/>
        <w:ind w:right="480" w:firstLine="5400"/>
        <w:jc w:val="both"/>
        <w:rPr>
          <w:color w:val="auto"/>
          <w:highlight w:val="none"/>
        </w:rPr>
      </w:pPr>
      <w:r>
        <w:rPr>
          <w:rFonts w:hint="eastAsia" w:ascii="宋体" w:hAnsi="宋体" w:eastAsia="宋体" w:cs="宋体"/>
          <w:color w:val="auto"/>
          <w:highlight w:val="none"/>
        </w:rPr>
        <w:t>日  期：</w:t>
      </w:r>
    </w:p>
    <w:p w14:paraId="13AA8D46">
      <w:pPr>
        <w:pStyle w:val="33"/>
        <w:spacing w:beforeAutospacing="0" w:afterAutospacing="0" w:line="360" w:lineRule="auto"/>
        <w:ind w:firstLine="240"/>
        <w:jc w:val="both"/>
        <w:rPr>
          <w:color w:val="auto"/>
          <w:highlight w:val="none"/>
        </w:rPr>
      </w:pPr>
      <w:r>
        <w:rPr>
          <w:color w:val="auto"/>
          <w:highlight w:val="none"/>
        </w:rPr>
        <w:t> </w:t>
      </w:r>
    </w:p>
    <w:p w14:paraId="3A849838">
      <w:pPr>
        <w:pStyle w:val="33"/>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11F4C448">
      <w:pPr>
        <w:pStyle w:val="33"/>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1FF98611">
      <w:pPr>
        <w:pStyle w:val="33"/>
        <w:spacing w:beforeAutospacing="0" w:afterAutospacing="0" w:line="360" w:lineRule="auto"/>
        <w:jc w:val="center"/>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i/>
          <w:color w:val="auto"/>
          <w:sz w:val="32"/>
          <w:szCs w:val="32"/>
          <w:highlight w:val="none"/>
          <w:u w:val="single"/>
        </w:rPr>
        <w:t> 十、残疾人福利性单位声明函</w:t>
      </w:r>
    </w:p>
    <w:p w14:paraId="4EC3D3F4">
      <w:pPr>
        <w:pStyle w:val="33"/>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项目采购活动由本单位提供服务。</w:t>
      </w:r>
    </w:p>
    <w:p w14:paraId="4357A480">
      <w:pPr>
        <w:pStyle w:val="33"/>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0FDA8ADD">
      <w:pPr>
        <w:pStyle w:val="33"/>
        <w:spacing w:beforeAutospacing="0" w:afterAutospacing="0" w:line="360" w:lineRule="auto"/>
        <w:ind w:firstLine="480"/>
        <w:jc w:val="both"/>
        <w:rPr>
          <w:color w:val="auto"/>
          <w:highlight w:val="none"/>
        </w:rPr>
      </w:pPr>
      <w:r>
        <w:rPr>
          <w:color w:val="auto"/>
          <w:highlight w:val="none"/>
        </w:rPr>
        <w:t> </w:t>
      </w:r>
    </w:p>
    <w:p w14:paraId="2BDE7666">
      <w:pPr>
        <w:pStyle w:val="33"/>
        <w:spacing w:beforeAutospacing="0" w:afterAutospacing="0" w:line="360" w:lineRule="auto"/>
        <w:ind w:firstLine="480"/>
        <w:jc w:val="both"/>
        <w:rPr>
          <w:rFonts w:eastAsia="宋体"/>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w:t>
      </w:r>
    </w:p>
    <w:p w14:paraId="0FE0AA97">
      <w:pPr>
        <w:pStyle w:val="33"/>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5BFD637F">
      <w:pPr>
        <w:pStyle w:val="33"/>
        <w:spacing w:beforeAutospacing="0" w:afterAutospacing="0" w:line="360" w:lineRule="auto"/>
        <w:ind w:firstLine="624"/>
        <w:jc w:val="both"/>
        <w:rPr>
          <w:color w:val="auto"/>
          <w:highlight w:val="none"/>
        </w:rPr>
      </w:pPr>
      <w:r>
        <w:rPr>
          <w:color w:val="auto"/>
          <w:highlight w:val="none"/>
        </w:rPr>
        <w:t> </w:t>
      </w:r>
    </w:p>
    <w:p w14:paraId="191F994F">
      <w:pPr>
        <w:pStyle w:val="33"/>
        <w:tabs>
          <w:tab w:val="left" w:pos="4864"/>
        </w:tabs>
        <w:spacing w:beforeAutospacing="0" w:afterAutospacing="0" w:line="360" w:lineRule="auto"/>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26890630">
      <w:pPr>
        <w:pStyle w:val="33"/>
        <w:tabs>
          <w:tab w:val="left" w:pos="4864"/>
        </w:tabs>
        <w:spacing w:beforeAutospacing="0" w:afterAutospacing="0" w:line="360" w:lineRule="auto"/>
        <w:ind w:right="1560" w:firstLine="480"/>
        <w:jc w:val="center"/>
        <w:rPr>
          <w:color w:val="auto"/>
          <w:highlight w:val="none"/>
        </w:rPr>
      </w:pPr>
      <w:r>
        <w:rPr>
          <w:rFonts w:hint="eastAsia" w:ascii="宋体" w:hAnsi="宋体" w:eastAsia="宋体" w:cs="宋体"/>
          <w:color w:val="auto"/>
          <w:highlight w:val="none"/>
        </w:rPr>
        <w:t>        日  期：</w:t>
      </w:r>
    </w:p>
    <w:p w14:paraId="38BD92BD">
      <w:pPr>
        <w:pStyle w:val="33"/>
        <w:spacing w:beforeAutospacing="0" w:afterAutospacing="0" w:line="360" w:lineRule="auto"/>
        <w:jc w:val="center"/>
        <w:rPr>
          <w:color w:val="auto"/>
          <w:highlight w:val="none"/>
        </w:rPr>
      </w:pPr>
      <w:r>
        <w:rPr>
          <w:color w:val="auto"/>
          <w:highlight w:val="none"/>
        </w:rPr>
        <w:t> </w:t>
      </w:r>
    </w:p>
    <w:p w14:paraId="38919511">
      <w:pPr>
        <w:pStyle w:val="33"/>
        <w:spacing w:beforeAutospacing="0" w:afterAutospacing="0" w:line="360" w:lineRule="auto"/>
        <w:jc w:val="center"/>
        <w:rPr>
          <w:color w:val="auto"/>
          <w:highlight w:val="none"/>
        </w:rPr>
      </w:pPr>
      <w:r>
        <w:rPr>
          <w:color w:val="auto"/>
          <w:highlight w:val="none"/>
        </w:rPr>
        <w:t> </w:t>
      </w:r>
    </w:p>
    <w:p w14:paraId="07865BC8">
      <w:pPr>
        <w:pStyle w:val="33"/>
        <w:spacing w:beforeAutospacing="0" w:afterAutospacing="0" w:line="360" w:lineRule="auto"/>
        <w:jc w:val="center"/>
        <w:rPr>
          <w:color w:val="auto"/>
          <w:highlight w:val="none"/>
        </w:rPr>
      </w:pPr>
      <w:r>
        <w:rPr>
          <w:color w:val="auto"/>
          <w:highlight w:val="none"/>
        </w:rPr>
        <w:t> </w:t>
      </w:r>
    </w:p>
    <w:p w14:paraId="66AD333D">
      <w:pPr>
        <w:pStyle w:val="33"/>
        <w:spacing w:beforeAutospacing="0" w:afterAutospacing="0" w:line="360" w:lineRule="auto"/>
        <w:jc w:val="center"/>
        <w:rPr>
          <w:color w:val="auto"/>
          <w:highlight w:val="none"/>
        </w:rPr>
      </w:pPr>
      <w:r>
        <w:rPr>
          <w:color w:val="auto"/>
          <w:highlight w:val="none"/>
        </w:rPr>
        <w:t> </w:t>
      </w:r>
    </w:p>
    <w:p w14:paraId="38C9AEEE">
      <w:pPr>
        <w:pStyle w:val="33"/>
        <w:spacing w:beforeAutospacing="0" w:afterAutospacing="0" w:line="360" w:lineRule="auto"/>
        <w:jc w:val="center"/>
        <w:rPr>
          <w:color w:val="auto"/>
          <w:highlight w:val="none"/>
        </w:rPr>
      </w:pPr>
      <w:r>
        <w:rPr>
          <w:color w:val="auto"/>
          <w:highlight w:val="none"/>
        </w:rPr>
        <w:t> </w:t>
      </w:r>
    </w:p>
    <w:p w14:paraId="7369FB37">
      <w:pPr>
        <w:pStyle w:val="33"/>
        <w:spacing w:beforeAutospacing="0" w:afterAutospacing="0" w:line="360" w:lineRule="auto"/>
        <w:jc w:val="center"/>
        <w:rPr>
          <w:color w:val="auto"/>
          <w:highlight w:val="none"/>
        </w:rPr>
      </w:pPr>
      <w:r>
        <w:rPr>
          <w:color w:val="auto"/>
          <w:highlight w:val="none"/>
        </w:rPr>
        <w:t> </w:t>
      </w:r>
    </w:p>
    <w:p w14:paraId="1DEBA7D6">
      <w:pPr>
        <w:pStyle w:val="33"/>
        <w:spacing w:beforeAutospacing="0" w:afterAutospacing="0" w:line="360" w:lineRule="auto"/>
        <w:jc w:val="center"/>
        <w:rPr>
          <w:color w:val="auto"/>
          <w:highlight w:val="none"/>
        </w:rPr>
      </w:pPr>
      <w:r>
        <w:rPr>
          <w:color w:val="auto"/>
          <w:highlight w:val="none"/>
        </w:rPr>
        <w:t> </w:t>
      </w:r>
    </w:p>
    <w:p w14:paraId="06D4858A">
      <w:pPr>
        <w:pStyle w:val="33"/>
        <w:spacing w:beforeAutospacing="0" w:afterAutospacing="0" w:line="360" w:lineRule="auto"/>
        <w:jc w:val="center"/>
        <w:rPr>
          <w:color w:val="auto"/>
          <w:highlight w:val="none"/>
        </w:rPr>
      </w:pPr>
      <w:r>
        <w:rPr>
          <w:color w:val="auto"/>
          <w:highlight w:val="none"/>
        </w:rPr>
        <w:t> </w:t>
      </w:r>
    </w:p>
    <w:p w14:paraId="17C3C9C1">
      <w:pPr>
        <w:pStyle w:val="33"/>
        <w:spacing w:beforeAutospacing="0" w:afterAutospacing="0" w:line="360" w:lineRule="auto"/>
        <w:jc w:val="center"/>
        <w:rPr>
          <w:color w:val="auto"/>
          <w:highlight w:val="none"/>
        </w:rPr>
      </w:pPr>
    </w:p>
    <w:p w14:paraId="37846D69">
      <w:pPr>
        <w:pStyle w:val="33"/>
        <w:spacing w:beforeAutospacing="0" w:afterAutospacing="0" w:line="360" w:lineRule="auto"/>
        <w:jc w:val="center"/>
        <w:rPr>
          <w:color w:val="auto"/>
          <w:highlight w:val="none"/>
        </w:rPr>
      </w:pPr>
    </w:p>
    <w:p w14:paraId="283E1218">
      <w:pPr>
        <w:pStyle w:val="33"/>
        <w:spacing w:beforeAutospacing="0" w:afterAutospacing="0" w:line="360" w:lineRule="auto"/>
        <w:jc w:val="center"/>
        <w:rPr>
          <w:color w:val="auto"/>
          <w:highlight w:val="none"/>
        </w:rPr>
      </w:pPr>
    </w:p>
    <w:p w14:paraId="0B727AD6">
      <w:pPr>
        <w:pStyle w:val="33"/>
        <w:spacing w:beforeAutospacing="0" w:afterAutospacing="0" w:line="360" w:lineRule="auto"/>
        <w:jc w:val="center"/>
        <w:rPr>
          <w:color w:val="auto"/>
          <w:highlight w:val="none"/>
        </w:rPr>
      </w:pPr>
    </w:p>
    <w:p w14:paraId="0F07BF13">
      <w:pPr>
        <w:pStyle w:val="33"/>
        <w:spacing w:beforeAutospacing="0" w:afterAutospacing="0" w:line="360" w:lineRule="auto"/>
        <w:jc w:val="center"/>
        <w:rPr>
          <w:color w:val="auto"/>
          <w:highlight w:val="none"/>
        </w:rPr>
      </w:pPr>
    </w:p>
    <w:p w14:paraId="227807C4">
      <w:pPr>
        <w:pStyle w:val="33"/>
        <w:spacing w:beforeAutospacing="0" w:afterAutospacing="0" w:line="360" w:lineRule="auto"/>
        <w:jc w:val="center"/>
        <w:rPr>
          <w:color w:val="auto"/>
          <w:highlight w:val="none"/>
        </w:rPr>
      </w:pPr>
    </w:p>
    <w:p w14:paraId="7CF885E2">
      <w:pPr>
        <w:pStyle w:val="33"/>
        <w:spacing w:beforeAutospacing="0" w:afterAutospacing="0" w:line="360" w:lineRule="auto"/>
        <w:jc w:val="center"/>
        <w:rPr>
          <w:color w:val="auto"/>
          <w:highlight w:val="none"/>
        </w:rPr>
      </w:pPr>
    </w:p>
    <w:p w14:paraId="0B8F7615">
      <w:pPr>
        <w:pStyle w:val="33"/>
        <w:spacing w:beforeAutospacing="0" w:afterAutospacing="0" w:line="360" w:lineRule="auto"/>
        <w:jc w:val="center"/>
        <w:rPr>
          <w:color w:val="auto"/>
          <w:highlight w:val="none"/>
        </w:rPr>
      </w:pPr>
    </w:p>
    <w:p w14:paraId="05622C1A">
      <w:pPr>
        <w:pStyle w:val="33"/>
        <w:spacing w:beforeAutospacing="0" w:afterAutospacing="0" w:line="360" w:lineRule="auto"/>
        <w:jc w:val="center"/>
        <w:rPr>
          <w:color w:val="auto"/>
          <w:highlight w:val="none"/>
        </w:rPr>
      </w:pPr>
    </w:p>
    <w:p w14:paraId="43183B37">
      <w:pPr>
        <w:pStyle w:val="33"/>
        <w:spacing w:beforeAutospacing="0" w:afterAutospacing="0" w:line="360" w:lineRule="auto"/>
        <w:jc w:val="center"/>
        <w:rPr>
          <w:color w:val="auto"/>
          <w:highlight w:val="none"/>
        </w:rPr>
      </w:pPr>
    </w:p>
    <w:p w14:paraId="2E8EAD47">
      <w:pPr>
        <w:pStyle w:val="33"/>
        <w:spacing w:beforeAutospacing="0" w:afterAutospacing="0" w:line="360" w:lineRule="auto"/>
        <w:jc w:val="cente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十一、投标分项报价表</w:t>
      </w:r>
    </w:p>
    <w:tbl>
      <w:tblPr>
        <w:tblStyle w:val="38"/>
        <w:tblW w:w="974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1440"/>
        <w:gridCol w:w="3629"/>
        <w:gridCol w:w="1580"/>
        <w:gridCol w:w="2371"/>
      </w:tblGrid>
      <w:tr w14:paraId="26CA4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C0F090D">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序号</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5041818">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类别</w:t>
            </w:r>
          </w:p>
        </w:tc>
        <w:tc>
          <w:tcPr>
            <w:tcW w:w="3629" w:type="dxa"/>
            <w:tcBorders>
              <w:top w:val="single" w:color="auto" w:sz="4" w:space="0"/>
              <w:left w:val="single" w:color="auto" w:sz="4" w:space="0"/>
              <w:bottom w:val="single" w:color="auto" w:sz="4" w:space="0"/>
              <w:right w:val="single" w:color="auto" w:sz="4" w:space="0"/>
            </w:tcBorders>
            <w:noWrap w:val="0"/>
            <w:vAlign w:val="center"/>
          </w:tcPr>
          <w:p w14:paraId="431F26C9">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报价组成</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43D66DBE">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小计（元）</w:t>
            </w:r>
          </w:p>
        </w:tc>
        <w:tc>
          <w:tcPr>
            <w:tcW w:w="2371" w:type="dxa"/>
            <w:tcBorders>
              <w:top w:val="single" w:color="auto" w:sz="4" w:space="0"/>
              <w:left w:val="single" w:color="auto" w:sz="4" w:space="0"/>
              <w:bottom w:val="single" w:color="auto" w:sz="4" w:space="0"/>
              <w:right w:val="single" w:color="auto" w:sz="4" w:space="0"/>
            </w:tcBorders>
            <w:noWrap w:val="0"/>
            <w:vAlign w:val="center"/>
          </w:tcPr>
          <w:p w14:paraId="4F98A590">
            <w:pPr>
              <w:keepNext w:val="0"/>
              <w:keepLines w:val="0"/>
              <w:widowControl/>
              <w:suppressLineNumbers w:val="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备注</w:t>
            </w:r>
          </w:p>
        </w:tc>
      </w:tr>
      <w:tr w14:paraId="6EEFC2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0333A63">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1D2E3AF9">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主厨</w:t>
            </w:r>
          </w:p>
        </w:tc>
        <w:tc>
          <w:tcPr>
            <w:tcW w:w="3629" w:type="dxa"/>
            <w:tcBorders>
              <w:top w:val="single" w:color="auto" w:sz="4" w:space="0"/>
              <w:left w:val="single" w:color="auto" w:sz="4" w:space="0"/>
              <w:bottom w:val="single" w:color="auto" w:sz="4" w:space="0"/>
              <w:right w:val="single" w:color="auto" w:sz="4" w:space="0"/>
            </w:tcBorders>
            <w:noWrap w:val="0"/>
            <w:vAlign w:val="center"/>
          </w:tcPr>
          <w:p w14:paraId="3DFB992E">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Style w:val="242"/>
                <w:rFonts w:hint="eastAsia" w:asciiTheme="minorEastAsia" w:hAnsiTheme="minorEastAsia" w:eastAsiaTheme="minorEastAsia" w:cstheme="minorEastAsia"/>
                <w:color w:val="auto"/>
                <w:sz w:val="21"/>
                <w:szCs w:val="21"/>
                <w:highlight w:val="none"/>
                <w:lang w:val="en-US" w:eastAsia="zh-CN" w:bidi="ar"/>
              </w:rPr>
              <w:t xml:space="preserve">     </w:t>
            </w:r>
            <w:r>
              <w:rPr>
                <w:rStyle w:val="243"/>
                <w:rFonts w:hint="eastAsia" w:asciiTheme="minorEastAsia" w:hAnsiTheme="minorEastAsia" w:eastAsiaTheme="minorEastAsia" w:cstheme="minorEastAsia"/>
                <w:color w:val="auto"/>
                <w:sz w:val="21"/>
                <w:szCs w:val="21"/>
                <w:highlight w:val="none"/>
                <w:u w:val="single"/>
                <w:lang w:val="en-US" w:eastAsia="zh-CN" w:bidi="ar"/>
              </w:rPr>
              <w:t>月</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w:t>
            </w:r>
            <w:r>
              <w:rPr>
                <w:rStyle w:val="243"/>
                <w:rFonts w:hint="eastAsia" w:asciiTheme="minorEastAsia" w:hAnsiTheme="minorEastAsia" w:eastAsiaTheme="minorEastAsia" w:cstheme="minorEastAsia"/>
                <w:color w:val="auto"/>
                <w:sz w:val="21"/>
                <w:szCs w:val="21"/>
                <w:highlight w:val="none"/>
                <w:u w:val="single"/>
                <w:lang w:val="en-US" w:eastAsia="zh-CN" w:bidi="ar"/>
              </w:rPr>
              <w:t>元</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*12</w:t>
            </w:r>
            <w:r>
              <w:rPr>
                <w:rStyle w:val="243"/>
                <w:rFonts w:hint="eastAsia" w:asciiTheme="minorEastAsia" w:hAnsiTheme="minorEastAsia" w:eastAsiaTheme="minorEastAsia" w:cstheme="minorEastAsia"/>
                <w:color w:val="auto"/>
                <w:sz w:val="21"/>
                <w:szCs w:val="21"/>
                <w:highlight w:val="none"/>
                <w:u w:val="single"/>
                <w:lang w:val="en-US" w:eastAsia="zh-CN" w:bidi="ar"/>
              </w:rPr>
              <w:t>个月</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w:t>
            </w:r>
            <w:r>
              <w:rPr>
                <w:rFonts w:hint="eastAsia" w:asciiTheme="minorEastAsia" w:hAnsiTheme="minorEastAsia" w:cstheme="minorEastAsia"/>
                <w:i w:val="0"/>
                <w:iCs w:val="0"/>
                <w:color w:val="auto"/>
                <w:kern w:val="0"/>
                <w:sz w:val="21"/>
                <w:szCs w:val="21"/>
                <w:highlight w:val="none"/>
                <w:u w:val="single"/>
                <w:lang w:val="en-US" w:eastAsia="zh-CN" w:bidi="ar"/>
              </w:rPr>
              <w:t>4</w:t>
            </w:r>
            <w:r>
              <w:rPr>
                <w:rStyle w:val="243"/>
                <w:rFonts w:hint="eastAsia" w:asciiTheme="minorEastAsia" w:hAnsiTheme="minorEastAsia" w:eastAsiaTheme="minorEastAsia" w:cstheme="minorEastAsia"/>
                <w:color w:val="auto"/>
                <w:sz w:val="21"/>
                <w:szCs w:val="21"/>
                <w:highlight w:val="none"/>
                <w:u w:val="single"/>
                <w:lang w:val="en-US" w:eastAsia="zh-CN" w:bidi="ar"/>
              </w:rPr>
              <w:t>人</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75C3629C">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p>
        </w:tc>
        <w:tc>
          <w:tcPr>
            <w:tcW w:w="2371" w:type="dxa"/>
            <w:tcBorders>
              <w:top w:val="single" w:color="auto" w:sz="4" w:space="0"/>
              <w:left w:val="single" w:color="auto" w:sz="4" w:space="0"/>
              <w:bottom w:val="single" w:color="auto" w:sz="4" w:space="0"/>
              <w:right w:val="single" w:color="auto" w:sz="4" w:space="0"/>
            </w:tcBorders>
            <w:noWrap w:val="0"/>
            <w:vAlign w:val="center"/>
          </w:tcPr>
          <w:p w14:paraId="0E0A1912">
            <w:pPr>
              <w:tabs>
                <w:tab w:val="left" w:pos="1418"/>
              </w:tabs>
              <w:spacing w:before="50" w:after="50" w:line="480" w:lineRule="exact"/>
              <w:jc w:val="center"/>
              <w:rPr>
                <w:rFonts w:hint="eastAsia" w:asciiTheme="minorEastAsia" w:hAnsiTheme="minorEastAsia" w:eastAsiaTheme="minorEastAsia" w:cstheme="minorEastAsia"/>
                <w:color w:val="auto"/>
                <w:spacing w:val="20"/>
                <w:sz w:val="21"/>
                <w:szCs w:val="21"/>
                <w:highlight w:val="none"/>
                <w:lang w:val="en-US" w:eastAsia="zh-CN"/>
              </w:rPr>
            </w:pPr>
            <w:r>
              <w:rPr>
                <w:rFonts w:hint="eastAsia" w:asciiTheme="minorEastAsia" w:hAnsiTheme="minorEastAsia" w:eastAsiaTheme="minorEastAsia" w:cstheme="minorEastAsia"/>
                <w:color w:val="auto"/>
                <w:spacing w:val="20"/>
                <w:sz w:val="21"/>
                <w:szCs w:val="21"/>
                <w:highlight w:val="none"/>
                <w:lang w:val="en-US" w:eastAsia="zh-CN"/>
              </w:rPr>
              <w:t>具有厨师证、健康证，工资不得低于按每月2430元/人。</w:t>
            </w:r>
          </w:p>
        </w:tc>
      </w:tr>
      <w:tr w14:paraId="477A2E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8BC1946">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28419CCC">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服务</w:t>
            </w:r>
            <w:r>
              <w:rPr>
                <w:rFonts w:hint="eastAsia" w:asciiTheme="minorEastAsia" w:hAnsiTheme="minorEastAsia" w:cstheme="minorEastAsia"/>
                <w:i w:val="0"/>
                <w:iCs w:val="0"/>
                <w:color w:val="auto"/>
                <w:kern w:val="0"/>
                <w:sz w:val="21"/>
                <w:szCs w:val="21"/>
                <w:highlight w:val="none"/>
                <w:u w:val="none"/>
                <w:lang w:val="en-US" w:eastAsia="zh-CN" w:bidi="ar"/>
              </w:rPr>
              <w:t>人</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员</w:t>
            </w:r>
          </w:p>
        </w:tc>
        <w:tc>
          <w:tcPr>
            <w:tcW w:w="3629" w:type="dxa"/>
            <w:tcBorders>
              <w:top w:val="single" w:color="auto" w:sz="4" w:space="0"/>
              <w:left w:val="single" w:color="auto" w:sz="4" w:space="0"/>
              <w:bottom w:val="single" w:color="auto" w:sz="4" w:space="0"/>
              <w:right w:val="single" w:color="auto" w:sz="4" w:space="0"/>
            </w:tcBorders>
            <w:noWrap w:val="0"/>
            <w:vAlign w:val="center"/>
          </w:tcPr>
          <w:p w14:paraId="441D594B">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Style w:val="242"/>
                <w:rFonts w:hint="eastAsia" w:asciiTheme="minorEastAsia" w:hAnsiTheme="minorEastAsia" w:eastAsiaTheme="minorEastAsia" w:cstheme="minorEastAsia"/>
                <w:color w:val="auto"/>
                <w:sz w:val="21"/>
                <w:szCs w:val="21"/>
                <w:highlight w:val="none"/>
                <w:lang w:val="en-US" w:eastAsia="zh-CN" w:bidi="ar"/>
              </w:rPr>
              <w:t xml:space="preserve">    </w:t>
            </w:r>
            <w:r>
              <w:rPr>
                <w:rStyle w:val="243"/>
                <w:rFonts w:hint="eastAsia" w:asciiTheme="minorEastAsia" w:hAnsiTheme="minorEastAsia" w:eastAsiaTheme="minorEastAsia" w:cstheme="minorEastAsia"/>
                <w:color w:val="auto"/>
                <w:sz w:val="21"/>
                <w:szCs w:val="21"/>
                <w:highlight w:val="none"/>
                <w:u w:val="single"/>
                <w:lang w:val="en-US" w:eastAsia="zh-CN" w:bidi="ar"/>
              </w:rPr>
              <w:t>月</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w:t>
            </w:r>
            <w:r>
              <w:rPr>
                <w:rStyle w:val="243"/>
                <w:rFonts w:hint="eastAsia" w:asciiTheme="minorEastAsia" w:hAnsiTheme="minorEastAsia" w:eastAsiaTheme="minorEastAsia" w:cstheme="minorEastAsia"/>
                <w:color w:val="auto"/>
                <w:sz w:val="21"/>
                <w:szCs w:val="21"/>
                <w:highlight w:val="none"/>
                <w:u w:val="single"/>
                <w:lang w:val="en-US" w:eastAsia="zh-CN" w:bidi="ar"/>
              </w:rPr>
              <w:t>元</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*12</w:t>
            </w:r>
            <w:r>
              <w:rPr>
                <w:rStyle w:val="243"/>
                <w:rFonts w:hint="eastAsia" w:asciiTheme="minorEastAsia" w:hAnsiTheme="minorEastAsia" w:eastAsiaTheme="minorEastAsia" w:cstheme="minorEastAsia"/>
                <w:color w:val="auto"/>
                <w:sz w:val="21"/>
                <w:szCs w:val="21"/>
                <w:highlight w:val="none"/>
                <w:u w:val="single"/>
                <w:lang w:val="en-US" w:eastAsia="zh-CN" w:bidi="ar"/>
              </w:rPr>
              <w:t>个月</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w:t>
            </w:r>
            <w:r>
              <w:rPr>
                <w:rFonts w:hint="eastAsia" w:asciiTheme="minorEastAsia" w:hAnsiTheme="minorEastAsia" w:cstheme="minorEastAsia"/>
                <w:i w:val="0"/>
                <w:iCs w:val="0"/>
                <w:color w:val="auto"/>
                <w:kern w:val="0"/>
                <w:sz w:val="21"/>
                <w:szCs w:val="21"/>
                <w:highlight w:val="none"/>
                <w:u w:val="single"/>
                <w:lang w:val="en-US" w:eastAsia="zh-CN" w:bidi="ar"/>
              </w:rPr>
              <w:t>33</w:t>
            </w:r>
            <w:r>
              <w:rPr>
                <w:rStyle w:val="243"/>
                <w:rFonts w:hint="eastAsia" w:asciiTheme="minorEastAsia" w:hAnsiTheme="minorEastAsia" w:eastAsiaTheme="minorEastAsia" w:cstheme="minorEastAsia"/>
                <w:color w:val="auto"/>
                <w:sz w:val="21"/>
                <w:szCs w:val="21"/>
                <w:highlight w:val="none"/>
                <w:u w:val="single"/>
                <w:lang w:val="en-US" w:eastAsia="zh-CN" w:bidi="ar"/>
              </w:rPr>
              <w:t>人</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6C5701EE">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p>
        </w:tc>
        <w:tc>
          <w:tcPr>
            <w:tcW w:w="2371" w:type="dxa"/>
            <w:tcBorders>
              <w:top w:val="single" w:color="auto" w:sz="4" w:space="0"/>
              <w:left w:val="single" w:color="auto" w:sz="4" w:space="0"/>
              <w:bottom w:val="single" w:color="auto" w:sz="4" w:space="0"/>
              <w:right w:val="single" w:color="auto" w:sz="4" w:space="0"/>
            </w:tcBorders>
            <w:noWrap w:val="0"/>
            <w:vAlign w:val="center"/>
          </w:tcPr>
          <w:p w14:paraId="09C4DD11">
            <w:pPr>
              <w:tabs>
                <w:tab w:val="left" w:pos="1418"/>
              </w:tabs>
              <w:spacing w:before="50" w:after="50" w:line="480" w:lineRule="exact"/>
              <w:jc w:val="center"/>
              <w:rPr>
                <w:rFonts w:hint="eastAsia" w:asciiTheme="minorEastAsia" w:hAnsiTheme="minorEastAsia" w:eastAsiaTheme="minorEastAsia" w:cstheme="minorEastAsia"/>
                <w:color w:val="auto"/>
                <w:spacing w:val="20"/>
                <w:sz w:val="21"/>
                <w:szCs w:val="21"/>
                <w:highlight w:val="none"/>
                <w:lang w:val="en-US" w:eastAsia="zh-CN"/>
              </w:rPr>
            </w:pPr>
            <w:r>
              <w:rPr>
                <w:rFonts w:hint="eastAsia" w:asciiTheme="minorEastAsia" w:hAnsiTheme="minorEastAsia" w:eastAsiaTheme="minorEastAsia" w:cstheme="minorEastAsia"/>
                <w:color w:val="auto"/>
                <w:spacing w:val="20"/>
                <w:sz w:val="21"/>
                <w:szCs w:val="21"/>
                <w:highlight w:val="none"/>
                <w:lang w:val="en-US" w:eastAsia="zh-CN"/>
              </w:rPr>
              <w:t>具有健康证，工资不得低于按每月2430元/人。</w:t>
            </w:r>
          </w:p>
        </w:tc>
      </w:tr>
      <w:tr w14:paraId="464FFB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2FA0CBD">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AB86729">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社保</w:t>
            </w:r>
          </w:p>
        </w:tc>
        <w:tc>
          <w:tcPr>
            <w:tcW w:w="3629" w:type="dxa"/>
            <w:tcBorders>
              <w:top w:val="single" w:color="auto" w:sz="4" w:space="0"/>
              <w:left w:val="single" w:color="auto" w:sz="4" w:space="0"/>
              <w:bottom w:val="single" w:color="auto" w:sz="4" w:space="0"/>
              <w:right w:val="single" w:color="auto" w:sz="4" w:space="0"/>
            </w:tcBorders>
            <w:noWrap w:val="0"/>
            <w:vAlign w:val="center"/>
          </w:tcPr>
          <w:p w14:paraId="62E5CBDC">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Style w:val="242"/>
                <w:rFonts w:hint="eastAsia" w:asciiTheme="minorEastAsia" w:hAnsiTheme="minorEastAsia" w:eastAsiaTheme="minorEastAsia" w:cstheme="minorEastAsia"/>
                <w:color w:val="auto"/>
                <w:sz w:val="21"/>
                <w:szCs w:val="21"/>
                <w:highlight w:val="none"/>
                <w:lang w:val="en-US" w:eastAsia="zh-CN" w:bidi="ar"/>
              </w:rPr>
              <w:t xml:space="preserve">   </w:t>
            </w:r>
            <w:r>
              <w:rPr>
                <w:rStyle w:val="242"/>
                <w:rFonts w:hint="eastAsia" w:asciiTheme="minorEastAsia" w:hAnsiTheme="minorEastAsia" w:cstheme="minorEastAsia"/>
                <w:color w:val="auto"/>
                <w:sz w:val="21"/>
                <w:szCs w:val="21"/>
                <w:highlight w:val="none"/>
                <w:lang w:val="en-US" w:eastAsia="zh-CN" w:bidi="ar"/>
              </w:rPr>
              <w:t xml:space="preserve">  </w:t>
            </w:r>
            <w:r>
              <w:rPr>
                <w:rStyle w:val="242"/>
                <w:rFonts w:hint="eastAsia" w:asciiTheme="minorEastAsia" w:hAnsiTheme="minorEastAsia" w:eastAsiaTheme="minorEastAsia" w:cstheme="minorEastAsia"/>
                <w:color w:val="auto"/>
                <w:sz w:val="21"/>
                <w:szCs w:val="21"/>
                <w:highlight w:val="none"/>
                <w:lang w:val="en-US" w:eastAsia="zh-CN" w:bidi="ar"/>
              </w:rPr>
              <w:t xml:space="preserve"> </w:t>
            </w:r>
            <w:r>
              <w:rPr>
                <w:rStyle w:val="243"/>
                <w:rFonts w:hint="eastAsia" w:asciiTheme="minorEastAsia" w:hAnsiTheme="minorEastAsia" w:eastAsiaTheme="minorEastAsia" w:cstheme="minorEastAsia"/>
                <w:color w:val="auto"/>
                <w:sz w:val="21"/>
                <w:szCs w:val="21"/>
                <w:highlight w:val="none"/>
                <w:u w:val="single"/>
                <w:lang w:val="en-US" w:eastAsia="zh-CN" w:bidi="ar"/>
              </w:rPr>
              <w:t>月</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w:t>
            </w:r>
            <w:r>
              <w:rPr>
                <w:rStyle w:val="243"/>
                <w:rFonts w:hint="eastAsia" w:asciiTheme="minorEastAsia" w:hAnsiTheme="minorEastAsia" w:eastAsiaTheme="minorEastAsia" w:cstheme="minorEastAsia"/>
                <w:color w:val="auto"/>
                <w:sz w:val="21"/>
                <w:szCs w:val="21"/>
                <w:highlight w:val="none"/>
                <w:u w:val="single"/>
                <w:lang w:val="en-US" w:eastAsia="zh-CN" w:bidi="ar"/>
              </w:rPr>
              <w:t>元</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*12</w:t>
            </w:r>
            <w:r>
              <w:rPr>
                <w:rStyle w:val="243"/>
                <w:rFonts w:hint="eastAsia" w:asciiTheme="minorEastAsia" w:hAnsiTheme="minorEastAsia" w:eastAsiaTheme="minorEastAsia" w:cstheme="minorEastAsia"/>
                <w:color w:val="auto"/>
                <w:sz w:val="21"/>
                <w:szCs w:val="21"/>
                <w:highlight w:val="none"/>
                <w:u w:val="single"/>
                <w:lang w:val="en-US" w:eastAsia="zh-CN" w:bidi="ar"/>
              </w:rPr>
              <w:t>个月</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w:t>
            </w:r>
            <w:r>
              <w:rPr>
                <w:rFonts w:hint="eastAsia" w:asciiTheme="minorEastAsia" w:hAnsiTheme="minorEastAsia" w:cstheme="minorEastAsia"/>
                <w:i w:val="0"/>
                <w:iCs w:val="0"/>
                <w:color w:val="auto"/>
                <w:kern w:val="0"/>
                <w:sz w:val="21"/>
                <w:szCs w:val="21"/>
                <w:highlight w:val="none"/>
                <w:u w:val="single"/>
                <w:lang w:val="en-US" w:eastAsia="zh-CN" w:bidi="ar"/>
              </w:rPr>
              <w:t xml:space="preserve">      </w:t>
            </w:r>
            <w:r>
              <w:rPr>
                <w:rStyle w:val="243"/>
                <w:rFonts w:hint="eastAsia" w:asciiTheme="minorEastAsia" w:hAnsiTheme="minorEastAsia" w:eastAsiaTheme="minorEastAsia" w:cstheme="minorEastAsia"/>
                <w:color w:val="auto"/>
                <w:sz w:val="21"/>
                <w:szCs w:val="21"/>
                <w:highlight w:val="none"/>
                <w:u w:val="single"/>
                <w:lang w:val="en-US" w:eastAsia="zh-CN" w:bidi="ar"/>
              </w:rPr>
              <w:t>人</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03F94EB5">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p>
        </w:tc>
        <w:tc>
          <w:tcPr>
            <w:tcW w:w="2371" w:type="dxa"/>
            <w:tcBorders>
              <w:top w:val="single" w:color="auto" w:sz="4" w:space="0"/>
              <w:left w:val="single" w:color="auto" w:sz="4" w:space="0"/>
              <w:bottom w:val="single" w:color="auto" w:sz="4" w:space="0"/>
              <w:right w:val="single" w:color="auto" w:sz="4" w:space="0"/>
            </w:tcBorders>
            <w:noWrap w:val="0"/>
            <w:vAlign w:val="center"/>
          </w:tcPr>
          <w:p w14:paraId="59A05F45">
            <w:pPr>
              <w:jc w:val="center"/>
              <w:rPr>
                <w:rFonts w:hint="eastAsia" w:asciiTheme="minorEastAsia" w:hAnsiTheme="minorEastAsia" w:eastAsiaTheme="minorEastAsia" w:cstheme="minorEastAsia"/>
                <w:color w:val="auto"/>
                <w:spacing w:val="20"/>
                <w:sz w:val="21"/>
                <w:szCs w:val="21"/>
                <w:highlight w:val="none"/>
                <w:lang w:val="en-US" w:eastAsia="zh-CN"/>
              </w:rPr>
            </w:pPr>
            <w:r>
              <w:rPr>
                <w:rFonts w:hint="eastAsia" w:asciiTheme="minorEastAsia" w:hAnsiTheme="minorEastAsia" w:eastAsiaTheme="minorEastAsia" w:cstheme="minorEastAsia"/>
                <w:color w:val="auto"/>
                <w:spacing w:val="20"/>
                <w:sz w:val="21"/>
                <w:szCs w:val="21"/>
                <w:highlight w:val="none"/>
                <w:lang w:val="en-US" w:eastAsia="zh-CN"/>
              </w:rPr>
              <w:t>至少为4名主厨缴纳社保，按每月1292.47元/人</w:t>
            </w:r>
          </w:p>
        </w:tc>
      </w:tr>
      <w:tr w14:paraId="42CC11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6"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D94F551">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ADA62A5">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意外险</w:t>
            </w:r>
          </w:p>
        </w:tc>
        <w:tc>
          <w:tcPr>
            <w:tcW w:w="3629" w:type="dxa"/>
            <w:tcBorders>
              <w:top w:val="single" w:color="auto" w:sz="4" w:space="0"/>
              <w:left w:val="single" w:color="auto" w:sz="4" w:space="0"/>
              <w:bottom w:val="single" w:color="auto" w:sz="4" w:space="0"/>
              <w:right w:val="single" w:color="auto" w:sz="4" w:space="0"/>
            </w:tcBorders>
            <w:noWrap w:val="0"/>
            <w:vAlign w:val="center"/>
          </w:tcPr>
          <w:p w14:paraId="63F80577">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Style w:val="242"/>
                <w:rFonts w:hint="eastAsia" w:asciiTheme="minorEastAsia" w:hAnsiTheme="minorEastAsia" w:eastAsiaTheme="minorEastAsia" w:cstheme="minorEastAsia"/>
                <w:color w:val="auto"/>
                <w:sz w:val="21"/>
                <w:szCs w:val="21"/>
                <w:highlight w:val="none"/>
                <w:lang w:val="en-US" w:eastAsia="zh-CN" w:bidi="ar"/>
              </w:rPr>
              <w:t xml:space="preserve">    </w:t>
            </w:r>
            <w:r>
              <w:rPr>
                <w:rStyle w:val="242"/>
                <w:rFonts w:hint="eastAsia" w:asciiTheme="minorEastAsia" w:hAnsiTheme="minorEastAsia" w:cstheme="minorEastAsia"/>
                <w:color w:val="auto"/>
                <w:sz w:val="21"/>
                <w:szCs w:val="21"/>
                <w:highlight w:val="none"/>
                <w:lang w:val="en-US" w:eastAsia="zh-CN" w:bidi="ar"/>
              </w:rPr>
              <w:t>元/</w:t>
            </w:r>
            <w:r>
              <w:rPr>
                <w:rStyle w:val="243"/>
                <w:rFonts w:hint="eastAsia" w:asciiTheme="minorEastAsia" w:hAnsiTheme="minorEastAsia" w:eastAsiaTheme="minorEastAsia" w:cstheme="minorEastAsia"/>
                <w:color w:val="auto"/>
                <w:sz w:val="21"/>
                <w:szCs w:val="21"/>
                <w:highlight w:val="none"/>
                <w:u w:val="single"/>
                <w:lang w:val="en-US" w:eastAsia="zh-CN" w:bidi="ar"/>
              </w:rPr>
              <w:t>年</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w:t>
            </w:r>
            <w:r>
              <w:rPr>
                <w:rStyle w:val="243"/>
                <w:rFonts w:hint="eastAsia" w:asciiTheme="minorEastAsia" w:hAnsiTheme="minorEastAsia" w:eastAsiaTheme="minorEastAsia" w:cstheme="minorEastAsia"/>
                <w:color w:val="auto"/>
                <w:sz w:val="21"/>
                <w:szCs w:val="21"/>
                <w:highlight w:val="none"/>
                <w:u w:val="single"/>
                <w:lang w:val="en-US" w:eastAsia="zh-CN" w:bidi="ar"/>
              </w:rPr>
              <w:t>人</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*37</w:t>
            </w:r>
            <w:r>
              <w:rPr>
                <w:rStyle w:val="243"/>
                <w:rFonts w:hint="eastAsia" w:asciiTheme="minorEastAsia" w:hAnsiTheme="minorEastAsia" w:eastAsiaTheme="minorEastAsia" w:cstheme="minorEastAsia"/>
                <w:color w:val="auto"/>
                <w:sz w:val="21"/>
                <w:szCs w:val="21"/>
                <w:highlight w:val="none"/>
                <w:u w:val="single"/>
                <w:lang w:val="en-US" w:eastAsia="zh-CN" w:bidi="ar"/>
              </w:rPr>
              <w:t>人</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1E29CBEC">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p>
        </w:tc>
        <w:tc>
          <w:tcPr>
            <w:tcW w:w="2371" w:type="dxa"/>
            <w:tcBorders>
              <w:top w:val="single" w:color="auto" w:sz="4" w:space="0"/>
              <w:left w:val="single" w:color="auto" w:sz="4" w:space="0"/>
              <w:bottom w:val="single" w:color="auto" w:sz="4" w:space="0"/>
              <w:right w:val="single" w:color="auto" w:sz="4" w:space="0"/>
            </w:tcBorders>
            <w:noWrap w:val="0"/>
            <w:vAlign w:val="center"/>
          </w:tcPr>
          <w:p w14:paraId="099A5065">
            <w:pPr>
              <w:tabs>
                <w:tab w:val="left" w:pos="1418"/>
              </w:tabs>
              <w:spacing w:before="50" w:after="50" w:line="480" w:lineRule="exact"/>
              <w:jc w:val="center"/>
              <w:rPr>
                <w:rFonts w:hint="default" w:asciiTheme="minorEastAsia" w:hAnsiTheme="minorEastAsia" w:eastAsiaTheme="minorEastAsia" w:cstheme="minorEastAsia"/>
                <w:color w:val="auto"/>
                <w:spacing w:val="20"/>
                <w:sz w:val="21"/>
                <w:szCs w:val="21"/>
                <w:highlight w:val="none"/>
                <w:lang w:val="en-US" w:eastAsia="zh-CN"/>
              </w:rPr>
            </w:pPr>
            <w:r>
              <w:rPr>
                <w:rFonts w:hint="eastAsia" w:asciiTheme="minorEastAsia" w:hAnsiTheme="minorEastAsia" w:eastAsiaTheme="minorEastAsia" w:cstheme="minorEastAsia"/>
                <w:color w:val="auto"/>
                <w:spacing w:val="20"/>
                <w:sz w:val="21"/>
                <w:szCs w:val="21"/>
                <w:highlight w:val="none"/>
                <w:lang w:val="en-US" w:eastAsia="zh-CN"/>
              </w:rPr>
              <w:t>保费自行报价,且保额不得低于100万元/年/人</w:t>
            </w:r>
          </w:p>
        </w:tc>
      </w:tr>
      <w:tr w14:paraId="32DDCC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D941EA9">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3954E72D">
            <w:pPr>
              <w:keepNext w:val="0"/>
              <w:keepLines w:val="0"/>
              <w:widowControl/>
              <w:suppressLineNumbers w:val="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福利</w:t>
            </w:r>
          </w:p>
        </w:tc>
        <w:tc>
          <w:tcPr>
            <w:tcW w:w="3629" w:type="dxa"/>
            <w:tcBorders>
              <w:top w:val="single" w:color="auto" w:sz="4" w:space="0"/>
              <w:left w:val="single" w:color="auto" w:sz="4" w:space="0"/>
              <w:bottom w:val="single" w:color="auto" w:sz="4" w:space="0"/>
              <w:right w:val="single" w:color="auto" w:sz="4" w:space="0"/>
            </w:tcBorders>
            <w:noWrap w:val="0"/>
            <w:vAlign w:val="center"/>
          </w:tcPr>
          <w:p w14:paraId="52F30F16">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Style w:val="242"/>
                <w:rFonts w:hint="eastAsia" w:asciiTheme="minorEastAsia" w:hAnsiTheme="minorEastAsia" w:eastAsiaTheme="minorEastAsia" w:cstheme="minorEastAsia"/>
                <w:color w:val="auto"/>
                <w:sz w:val="21"/>
                <w:szCs w:val="21"/>
                <w:highlight w:val="none"/>
                <w:lang w:val="en-US" w:eastAsia="zh-CN" w:bidi="ar"/>
              </w:rPr>
              <w:t xml:space="preserve">    </w:t>
            </w:r>
            <w:r>
              <w:rPr>
                <w:rStyle w:val="242"/>
                <w:rFonts w:hint="eastAsia" w:asciiTheme="minorEastAsia" w:hAnsiTheme="minorEastAsia" w:cstheme="minorEastAsia"/>
                <w:color w:val="auto"/>
                <w:sz w:val="21"/>
                <w:szCs w:val="21"/>
                <w:highlight w:val="none"/>
                <w:lang w:val="en-US" w:eastAsia="zh-CN" w:bidi="ar"/>
              </w:rPr>
              <w:t>元/</w:t>
            </w:r>
            <w:r>
              <w:rPr>
                <w:rStyle w:val="243"/>
                <w:rFonts w:hint="eastAsia" w:asciiTheme="minorEastAsia" w:hAnsiTheme="minorEastAsia" w:eastAsiaTheme="minorEastAsia" w:cstheme="minorEastAsia"/>
                <w:color w:val="auto"/>
                <w:sz w:val="21"/>
                <w:szCs w:val="21"/>
                <w:highlight w:val="none"/>
                <w:u w:val="single"/>
                <w:lang w:val="en-US" w:eastAsia="zh-CN" w:bidi="ar"/>
              </w:rPr>
              <w:t>年</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w:t>
            </w:r>
            <w:r>
              <w:rPr>
                <w:rStyle w:val="243"/>
                <w:rFonts w:hint="eastAsia" w:asciiTheme="minorEastAsia" w:hAnsiTheme="minorEastAsia" w:eastAsiaTheme="minorEastAsia" w:cstheme="minorEastAsia"/>
                <w:color w:val="auto"/>
                <w:sz w:val="21"/>
                <w:szCs w:val="21"/>
                <w:highlight w:val="none"/>
                <w:u w:val="single"/>
                <w:lang w:val="en-US" w:eastAsia="zh-CN" w:bidi="ar"/>
              </w:rPr>
              <w:t>人</w:t>
            </w:r>
            <w:r>
              <w:rPr>
                <w:rFonts w:hint="eastAsia" w:asciiTheme="minorEastAsia" w:hAnsiTheme="minorEastAsia" w:eastAsiaTheme="minorEastAsia" w:cstheme="minorEastAsia"/>
                <w:i w:val="0"/>
                <w:iCs w:val="0"/>
                <w:color w:val="auto"/>
                <w:kern w:val="0"/>
                <w:sz w:val="21"/>
                <w:szCs w:val="21"/>
                <w:highlight w:val="none"/>
                <w:u w:val="single"/>
                <w:lang w:val="en-US" w:eastAsia="zh-CN" w:bidi="ar"/>
              </w:rPr>
              <w:t>*37</w:t>
            </w:r>
            <w:r>
              <w:rPr>
                <w:rStyle w:val="243"/>
                <w:rFonts w:hint="eastAsia" w:asciiTheme="minorEastAsia" w:hAnsiTheme="minorEastAsia" w:eastAsiaTheme="minorEastAsia" w:cstheme="minorEastAsia"/>
                <w:color w:val="auto"/>
                <w:sz w:val="21"/>
                <w:szCs w:val="21"/>
                <w:highlight w:val="none"/>
                <w:u w:val="single"/>
                <w:lang w:val="en-US" w:eastAsia="zh-CN" w:bidi="ar"/>
              </w:rPr>
              <w:t>人</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7EC69C7A">
            <w:pPr>
              <w:keepNext w:val="0"/>
              <w:keepLines w:val="0"/>
              <w:widowControl/>
              <w:suppressLineNumbers w:val="0"/>
              <w:jc w:val="center"/>
              <w:textAlignment w:val="center"/>
              <w:rPr>
                <w:rFonts w:hint="eastAsia" w:asciiTheme="minorEastAsia" w:hAnsiTheme="minorEastAsia" w:eastAsiaTheme="minorEastAsia" w:cstheme="minorEastAsia"/>
                <w:color w:val="auto"/>
                <w:sz w:val="21"/>
                <w:szCs w:val="21"/>
                <w:highlight w:val="none"/>
              </w:rPr>
            </w:pPr>
          </w:p>
        </w:tc>
        <w:tc>
          <w:tcPr>
            <w:tcW w:w="2371" w:type="dxa"/>
            <w:tcBorders>
              <w:top w:val="single" w:color="auto" w:sz="4" w:space="0"/>
              <w:left w:val="single" w:color="auto" w:sz="4" w:space="0"/>
              <w:bottom w:val="single" w:color="auto" w:sz="4" w:space="0"/>
              <w:right w:val="single" w:color="auto" w:sz="4" w:space="0"/>
            </w:tcBorders>
            <w:noWrap w:val="0"/>
            <w:vAlign w:val="center"/>
          </w:tcPr>
          <w:p w14:paraId="5E7CD79D">
            <w:pPr>
              <w:tabs>
                <w:tab w:val="left" w:pos="1418"/>
              </w:tabs>
              <w:spacing w:before="50" w:after="50" w:line="480" w:lineRule="exact"/>
              <w:jc w:val="center"/>
              <w:rPr>
                <w:rFonts w:hint="eastAsia" w:asciiTheme="minorEastAsia" w:hAnsiTheme="minorEastAsia" w:eastAsiaTheme="minorEastAsia" w:cstheme="minorEastAsia"/>
                <w:color w:val="auto"/>
                <w:spacing w:val="20"/>
                <w:sz w:val="21"/>
                <w:szCs w:val="21"/>
                <w:highlight w:val="none"/>
                <w:lang w:val="en-US" w:eastAsia="zh-CN"/>
              </w:rPr>
            </w:pPr>
            <w:r>
              <w:rPr>
                <w:rFonts w:hint="eastAsia" w:asciiTheme="minorEastAsia" w:hAnsiTheme="minorEastAsia" w:cstheme="minorEastAsia"/>
                <w:color w:val="auto"/>
                <w:spacing w:val="20"/>
                <w:sz w:val="21"/>
                <w:szCs w:val="21"/>
                <w:highlight w:val="none"/>
                <w:lang w:val="en-US" w:eastAsia="zh-CN"/>
              </w:rPr>
              <w:t>福利</w:t>
            </w:r>
            <w:r>
              <w:rPr>
                <w:rFonts w:hint="eastAsia" w:asciiTheme="minorEastAsia" w:hAnsiTheme="minorEastAsia" w:eastAsiaTheme="minorEastAsia" w:cstheme="minorEastAsia"/>
                <w:color w:val="auto"/>
                <w:spacing w:val="20"/>
                <w:sz w:val="21"/>
                <w:szCs w:val="21"/>
                <w:highlight w:val="none"/>
                <w:lang w:val="en-US" w:eastAsia="zh-CN"/>
              </w:rPr>
              <w:t>自行报价</w:t>
            </w:r>
          </w:p>
        </w:tc>
      </w:tr>
      <w:tr w14:paraId="4101B1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3BF3FBC">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6</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D504EFB">
            <w:pPr>
              <w:keepNext w:val="0"/>
              <w:keepLines w:val="0"/>
              <w:widowControl/>
              <w:suppressLineNumbers w:val="0"/>
              <w:jc w:val="center"/>
              <w:textAlignment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税金</w:t>
            </w:r>
          </w:p>
        </w:tc>
        <w:tc>
          <w:tcPr>
            <w:tcW w:w="3629" w:type="dxa"/>
            <w:tcBorders>
              <w:top w:val="single" w:color="auto" w:sz="4" w:space="0"/>
              <w:left w:val="single" w:color="auto" w:sz="4" w:space="0"/>
              <w:bottom w:val="single" w:color="auto" w:sz="4" w:space="0"/>
              <w:right w:val="single" w:color="auto" w:sz="4" w:space="0"/>
            </w:tcBorders>
            <w:noWrap w:val="0"/>
            <w:vAlign w:val="center"/>
          </w:tcPr>
          <w:p w14:paraId="6A650B7B">
            <w:pPr>
              <w:keepNext w:val="0"/>
              <w:keepLines w:val="0"/>
              <w:widowControl/>
              <w:suppressLineNumbers w:val="0"/>
              <w:jc w:val="center"/>
              <w:textAlignment w:val="center"/>
              <w:rPr>
                <w:rFonts w:hint="eastAsia" w:asciiTheme="minorEastAsia" w:hAnsiTheme="minorEastAsia" w:eastAsiaTheme="minorEastAsia" w:cstheme="minorEastAsia"/>
                <w:color w:val="auto"/>
                <w:spacing w:val="20"/>
                <w:sz w:val="21"/>
                <w:szCs w:val="21"/>
                <w:highlight w:val="none"/>
              </w:rPr>
            </w:pPr>
            <w:r>
              <w:rPr>
                <w:rStyle w:val="243"/>
                <w:rFonts w:hint="eastAsia" w:asciiTheme="minorEastAsia" w:hAnsiTheme="minorEastAsia" w:eastAsiaTheme="minorEastAsia" w:cstheme="minorEastAsia"/>
                <w:color w:val="auto"/>
                <w:sz w:val="21"/>
                <w:szCs w:val="21"/>
                <w:highlight w:val="none"/>
                <w:lang w:val="en-US" w:eastAsia="zh-CN" w:bidi="ar"/>
              </w:rPr>
              <w:t>序号</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r>
              <w:rPr>
                <w:rStyle w:val="243"/>
                <w:rFonts w:hint="eastAsia" w:asciiTheme="minorEastAsia" w:hAnsiTheme="minorEastAsia" w:eastAsiaTheme="minorEastAsia" w:cstheme="minorEastAsia"/>
                <w:color w:val="auto"/>
                <w:sz w:val="21"/>
                <w:szCs w:val="21"/>
                <w:highlight w:val="none"/>
                <w:lang w:val="en-US" w:eastAsia="zh-CN" w:bidi="ar"/>
              </w:rPr>
              <w:t>至</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r>
              <w:rPr>
                <w:rStyle w:val="243"/>
                <w:rFonts w:hint="eastAsia" w:asciiTheme="minorEastAsia" w:hAnsiTheme="minorEastAsia" w:eastAsiaTheme="minorEastAsia" w:cstheme="minorEastAsia"/>
                <w:color w:val="auto"/>
                <w:sz w:val="21"/>
                <w:szCs w:val="21"/>
                <w:highlight w:val="none"/>
                <w:lang w:val="en-US" w:eastAsia="zh-CN" w:bidi="ar"/>
              </w:rPr>
              <w:t>之和</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r>
              <w:rPr>
                <w:rStyle w:val="242"/>
                <w:rFonts w:hint="eastAsia" w:asciiTheme="minorEastAsia" w:hAnsiTheme="minorEastAsia" w:eastAsiaTheme="minorEastAsia" w:cstheme="minorEastAsia"/>
                <w:color w:val="auto"/>
                <w:sz w:val="21"/>
                <w:szCs w:val="21"/>
                <w:highlight w:val="none"/>
                <w:lang w:val="en-US" w:eastAsia="zh-CN" w:bidi="ar"/>
              </w:rPr>
              <w:t xml:space="preserve">   </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w:t>
            </w:r>
          </w:p>
        </w:tc>
        <w:tc>
          <w:tcPr>
            <w:tcW w:w="1580" w:type="dxa"/>
            <w:tcBorders>
              <w:top w:val="single" w:color="auto" w:sz="4" w:space="0"/>
              <w:left w:val="single" w:color="auto" w:sz="4" w:space="0"/>
              <w:bottom w:val="single" w:color="auto" w:sz="4" w:space="0"/>
              <w:right w:val="single" w:color="auto" w:sz="4" w:space="0"/>
            </w:tcBorders>
            <w:noWrap w:val="0"/>
            <w:vAlign w:val="center"/>
          </w:tcPr>
          <w:p w14:paraId="618799C3">
            <w:pPr>
              <w:keepNext w:val="0"/>
              <w:keepLines w:val="0"/>
              <w:widowControl/>
              <w:suppressLineNumbers w:val="0"/>
              <w:jc w:val="center"/>
              <w:textAlignment w:val="center"/>
              <w:rPr>
                <w:rFonts w:hint="eastAsia" w:asciiTheme="minorEastAsia" w:hAnsiTheme="minorEastAsia" w:eastAsiaTheme="minorEastAsia" w:cstheme="minorEastAsia"/>
                <w:color w:val="auto"/>
                <w:sz w:val="21"/>
                <w:szCs w:val="21"/>
                <w:highlight w:val="none"/>
              </w:rPr>
            </w:pPr>
          </w:p>
        </w:tc>
        <w:tc>
          <w:tcPr>
            <w:tcW w:w="2371" w:type="dxa"/>
            <w:tcBorders>
              <w:top w:val="single" w:color="auto" w:sz="4" w:space="0"/>
              <w:left w:val="single" w:color="auto" w:sz="4" w:space="0"/>
              <w:bottom w:val="single" w:color="auto" w:sz="4" w:space="0"/>
              <w:right w:val="single" w:color="auto" w:sz="4" w:space="0"/>
            </w:tcBorders>
            <w:noWrap w:val="0"/>
            <w:vAlign w:val="center"/>
          </w:tcPr>
          <w:p w14:paraId="0036F32A">
            <w:pPr>
              <w:tabs>
                <w:tab w:val="left" w:pos="1418"/>
              </w:tabs>
              <w:spacing w:before="50" w:after="50" w:line="480" w:lineRule="exact"/>
              <w:jc w:val="center"/>
              <w:rPr>
                <w:rFonts w:hint="default" w:asciiTheme="minorEastAsia" w:hAnsiTheme="minorEastAsia" w:eastAsiaTheme="minorEastAsia" w:cstheme="minorEastAsia"/>
                <w:color w:val="auto"/>
                <w:spacing w:val="20"/>
                <w:sz w:val="21"/>
                <w:szCs w:val="21"/>
                <w:highlight w:val="none"/>
                <w:lang w:val="en-US" w:eastAsia="zh-CN"/>
              </w:rPr>
            </w:pPr>
            <w:r>
              <w:rPr>
                <w:rFonts w:hint="eastAsia" w:asciiTheme="minorEastAsia" w:hAnsiTheme="minorEastAsia" w:cstheme="minorEastAsia"/>
                <w:color w:val="auto"/>
                <w:spacing w:val="20"/>
                <w:sz w:val="21"/>
                <w:szCs w:val="21"/>
                <w:highlight w:val="none"/>
                <w:lang w:val="en-US" w:eastAsia="zh-CN"/>
              </w:rPr>
              <w:t>结合投标人实际情况，税率按实计取</w:t>
            </w:r>
          </w:p>
        </w:tc>
      </w:tr>
      <w:tr w14:paraId="7D8DAC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740" w:type="dxa"/>
            <w:gridSpan w:val="5"/>
            <w:tcBorders>
              <w:top w:val="single" w:color="auto" w:sz="4" w:space="0"/>
              <w:left w:val="single" w:color="auto" w:sz="4" w:space="0"/>
              <w:bottom w:val="single" w:color="auto" w:sz="4" w:space="0"/>
              <w:right w:val="single" w:color="auto" w:sz="4" w:space="0"/>
            </w:tcBorders>
            <w:noWrap w:val="0"/>
          </w:tcPr>
          <w:p w14:paraId="2212CAEF">
            <w:pPr>
              <w:tabs>
                <w:tab w:val="left" w:pos="1418"/>
              </w:tabs>
              <w:spacing w:before="50" w:after="50" w:line="480" w:lineRule="exact"/>
              <w:jc w:val="left"/>
              <w:rPr>
                <w:rFonts w:hint="default" w:ascii="宋体" w:hAnsi="宋体" w:eastAsia="宋体" w:cs="Times New Roman"/>
                <w:color w:val="auto"/>
                <w:spacing w:val="20"/>
                <w:szCs w:val="21"/>
                <w:highlight w:val="none"/>
                <w:lang w:val="en-US" w:eastAsia="zh-CN"/>
              </w:rPr>
            </w:pPr>
            <w:r>
              <w:rPr>
                <w:rFonts w:hint="eastAsia" w:ascii="宋体" w:hAnsi="宋体" w:eastAsia="宋体" w:cs="Times New Roman"/>
                <w:color w:val="auto"/>
                <w:spacing w:val="20"/>
                <w:szCs w:val="21"/>
                <w:highlight w:val="none"/>
                <w:lang w:val="en-US" w:eastAsia="zh-CN"/>
              </w:rPr>
              <w:t>投标人报价前请研读本项目招标文件中报价要求；</w:t>
            </w:r>
          </w:p>
          <w:p w14:paraId="5EC24A84">
            <w:pPr>
              <w:tabs>
                <w:tab w:val="left" w:pos="1418"/>
              </w:tabs>
              <w:spacing w:before="50" w:after="50" w:line="480" w:lineRule="exact"/>
              <w:jc w:val="left"/>
              <w:rPr>
                <w:rFonts w:hint="eastAsia" w:ascii="宋体" w:hAnsi="宋体" w:eastAsia="宋体" w:cs="Times New Roman"/>
                <w:color w:val="auto"/>
                <w:spacing w:val="20"/>
                <w:szCs w:val="21"/>
                <w:highlight w:val="none"/>
              </w:rPr>
            </w:pPr>
            <w:r>
              <w:rPr>
                <w:rFonts w:hint="eastAsia" w:ascii="宋体" w:hAnsi="宋体" w:eastAsia="宋体" w:cs="Times New Roman"/>
                <w:color w:val="auto"/>
                <w:spacing w:val="20"/>
                <w:szCs w:val="21"/>
                <w:highlight w:val="none"/>
              </w:rPr>
              <w:t>以上项目为主要填写投标单位认为在项目过程中产生的费用，若有遗漏，由投标单位自行承担。</w:t>
            </w:r>
          </w:p>
        </w:tc>
      </w:tr>
      <w:tr w14:paraId="145013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740" w:type="dxa"/>
            <w:gridSpan w:val="5"/>
            <w:tcBorders>
              <w:top w:val="single" w:color="auto" w:sz="4" w:space="0"/>
              <w:left w:val="single" w:color="auto" w:sz="4" w:space="0"/>
              <w:bottom w:val="single" w:color="auto" w:sz="4" w:space="0"/>
              <w:right w:val="single" w:color="auto" w:sz="4" w:space="0"/>
            </w:tcBorders>
            <w:noWrap w:val="0"/>
          </w:tcPr>
          <w:p w14:paraId="59314FD9">
            <w:pPr>
              <w:tabs>
                <w:tab w:val="left" w:pos="1418"/>
              </w:tabs>
              <w:spacing w:before="50" w:after="50" w:line="480" w:lineRule="exact"/>
              <w:rPr>
                <w:rFonts w:hint="eastAsia" w:ascii="宋体" w:hAnsi="宋体" w:eastAsia="宋体" w:cs="Times New Roman"/>
                <w:color w:val="auto"/>
                <w:spacing w:val="20"/>
                <w:szCs w:val="21"/>
                <w:highlight w:val="none"/>
              </w:rPr>
            </w:pPr>
            <w:r>
              <w:rPr>
                <w:rFonts w:hint="eastAsia" w:ascii="宋体" w:hAnsi="宋体" w:eastAsia="宋体" w:cs="Times New Roman"/>
                <w:color w:val="auto"/>
                <w:spacing w:val="20"/>
                <w:szCs w:val="21"/>
                <w:highlight w:val="none"/>
              </w:rPr>
              <w:t>投标总价（大写）：</w:t>
            </w:r>
            <w:r>
              <w:rPr>
                <w:rFonts w:hint="eastAsia" w:ascii="宋体" w:hAnsi="宋体" w:eastAsia="宋体" w:cs="Times New Roman"/>
                <w:color w:val="auto"/>
                <w:spacing w:val="20"/>
                <w:szCs w:val="21"/>
                <w:highlight w:val="none"/>
                <w:u w:val="single"/>
              </w:rPr>
              <w:t xml:space="preserve">                  </w:t>
            </w:r>
            <w:r>
              <w:rPr>
                <w:rFonts w:hint="eastAsia" w:ascii="宋体" w:hAnsi="宋体" w:eastAsia="宋体" w:cs="Times New Roman"/>
                <w:color w:val="auto"/>
                <w:spacing w:val="20"/>
                <w:szCs w:val="21"/>
                <w:highlight w:val="none"/>
              </w:rPr>
              <w:t>元；（小写）：</w:t>
            </w:r>
            <w:r>
              <w:rPr>
                <w:rFonts w:hint="eastAsia" w:ascii="宋体" w:hAnsi="宋体" w:eastAsia="宋体" w:cs="Times New Roman"/>
                <w:color w:val="auto"/>
                <w:spacing w:val="20"/>
                <w:szCs w:val="21"/>
                <w:highlight w:val="none"/>
                <w:u w:val="single"/>
              </w:rPr>
              <w:t xml:space="preserve">       </w:t>
            </w:r>
            <w:r>
              <w:rPr>
                <w:rFonts w:hint="eastAsia" w:ascii="宋体" w:hAnsi="宋体" w:eastAsia="宋体" w:cs="Times New Roman"/>
                <w:color w:val="auto"/>
                <w:spacing w:val="20"/>
                <w:szCs w:val="21"/>
                <w:highlight w:val="none"/>
              </w:rPr>
              <w:t>元</w:t>
            </w:r>
          </w:p>
        </w:tc>
      </w:tr>
    </w:tbl>
    <w:p w14:paraId="2BF3733B">
      <w:pPr>
        <w:spacing w:line="360" w:lineRule="auto"/>
        <w:rPr>
          <w:b/>
          <w:bCs/>
          <w:color w:val="auto"/>
          <w:sz w:val="24"/>
          <w:szCs w:val="21"/>
          <w:highlight w:val="none"/>
        </w:rPr>
      </w:pPr>
    </w:p>
    <w:p w14:paraId="2F508D38">
      <w:pPr>
        <w:spacing w:line="360" w:lineRule="auto"/>
        <w:ind w:firstLine="480"/>
        <w:jc w:val="right"/>
        <w:rPr>
          <w:b/>
          <w:bCs/>
          <w:color w:val="auto"/>
          <w:sz w:val="24"/>
          <w:szCs w:val="21"/>
          <w:highlight w:val="none"/>
        </w:rPr>
      </w:pPr>
    </w:p>
    <w:p w14:paraId="62BA503E">
      <w:pPr>
        <w:spacing w:line="360" w:lineRule="auto"/>
        <w:ind w:firstLine="480"/>
        <w:jc w:val="right"/>
        <w:rPr>
          <w:rFonts w:hint="eastAsia" w:ascii="宋体" w:hAnsi="宋体"/>
          <w:color w:val="auto"/>
          <w:sz w:val="24"/>
          <w:highlight w:val="none"/>
        </w:rPr>
      </w:pPr>
      <w:r>
        <w:rPr>
          <w:rFonts w:hint="eastAsia" w:ascii="宋体" w:hAnsi="宋体"/>
          <w:color w:val="auto"/>
          <w:sz w:val="24"/>
          <w:highlight w:val="none"/>
        </w:rPr>
        <w:t xml:space="preserve">     投标人（</w:t>
      </w:r>
      <w:r>
        <w:rPr>
          <w:rFonts w:hint="eastAsia" w:ascii="宋体" w:hAnsi="宋体"/>
          <w:bCs/>
          <w:color w:val="auto"/>
          <w:sz w:val="24"/>
          <w:highlight w:val="none"/>
        </w:rPr>
        <w:t>加盖CA电子公章</w:t>
      </w:r>
      <w:r>
        <w:rPr>
          <w:rFonts w:hint="eastAsia" w:ascii="宋体" w:hAnsi="宋体"/>
          <w:color w:val="auto"/>
          <w:sz w:val="24"/>
          <w:highlight w:val="none"/>
        </w:rPr>
        <w:t>）：</w:t>
      </w:r>
    </w:p>
    <w:p w14:paraId="2B13806D">
      <w:pPr>
        <w:spacing w:line="360" w:lineRule="auto"/>
        <w:ind w:firstLine="480"/>
        <w:jc w:val="right"/>
        <w:rPr>
          <w:rFonts w:hint="eastAsia" w:ascii="宋体" w:hAnsi="宋体" w:cs="宋体"/>
          <w:b/>
          <w:color w:val="auto"/>
          <w:sz w:val="30"/>
          <w:szCs w:val="30"/>
          <w:highlight w:val="none"/>
        </w:rPr>
      </w:pPr>
      <w:r>
        <w:rPr>
          <w:rFonts w:hint="eastAsia" w:ascii="宋体" w:hAnsi="宋体"/>
          <w:color w:val="auto"/>
          <w:sz w:val="24"/>
          <w:highlight w:val="none"/>
        </w:rPr>
        <w:t>日期：   年   月    日</w:t>
      </w:r>
    </w:p>
    <w:p w14:paraId="6664D4E1">
      <w:pPr>
        <w:pStyle w:val="33"/>
        <w:spacing w:beforeAutospacing="0" w:afterAutospacing="0" w:line="360" w:lineRule="auto"/>
        <w:jc w:val="center"/>
        <w:rPr>
          <w:color w:val="auto"/>
          <w:highlight w:val="none"/>
        </w:rPr>
      </w:pPr>
    </w:p>
    <w:p w14:paraId="53113618">
      <w:pPr>
        <w:pStyle w:val="33"/>
        <w:spacing w:beforeAutospacing="0" w:afterAutospacing="0" w:line="360" w:lineRule="auto"/>
        <w:jc w:val="center"/>
        <w:rPr>
          <w:color w:val="auto"/>
          <w:highlight w:val="none"/>
        </w:rPr>
      </w:pPr>
    </w:p>
    <w:p w14:paraId="7CD71BA2">
      <w:pPr>
        <w:pStyle w:val="33"/>
        <w:spacing w:beforeAutospacing="0" w:afterAutospacing="0" w:line="360" w:lineRule="auto"/>
        <w:jc w:val="cente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十二、服务要求响应及偏离表</w:t>
      </w:r>
    </w:p>
    <w:tbl>
      <w:tblPr>
        <w:tblStyle w:val="3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903F8F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069815E">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09B4B373">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1386BDE">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6DB96A0">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59E03E4A">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证明</w:t>
            </w:r>
          </w:p>
          <w:p w14:paraId="36A0A517">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材料</w:t>
            </w:r>
          </w:p>
        </w:tc>
      </w:tr>
      <w:tr w14:paraId="121EDF6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E4D7E2A">
            <w:pPr>
              <w:pStyle w:val="33"/>
              <w:spacing w:beforeAutospacing="0" w:afterAutospacing="0" w:line="360" w:lineRule="auto"/>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5D0C55EE">
            <w:pPr>
              <w:pStyle w:val="33"/>
              <w:spacing w:beforeAutospacing="0" w:afterAutospacing="0" w:line="360" w:lineRule="auto"/>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80E21F3">
            <w:pPr>
              <w:pStyle w:val="33"/>
              <w:spacing w:beforeAutospacing="0" w:afterAutospacing="0" w:line="360" w:lineRule="auto"/>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93D328A">
            <w:pPr>
              <w:pStyle w:val="33"/>
              <w:spacing w:beforeAutospacing="0" w:afterAutospacing="0" w:line="360" w:lineRule="auto"/>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BEC3EC9">
            <w:pPr>
              <w:pStyle w:val="33"/>
              <w:spacing w:beforeAutospacing="0" w:afterAutospacing="0" w:line="360" w:lineRule="auto"/>
              <w:jc w:val="center"/>
              <w:rPr>
                <w:color w:val="auto"/>
                <w:highlight w:val="none"/>
              </w:rPr>
            </w:pPr>
            <w:r>
              <w:rPr>
                <w:color w:val="auto"/>
                <w:highlight w:val="none"/>
              </w:rPr>
              <w:t> </w:t>
            </w:r>
          </w:p>
        </w:tc>
      </w:tr>
      <w:tr w14:paraId="4690EA7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021C69E5">
            <w:pPr>
              <w:pStyle w:val="33"/>
              <w:spacing w:beforeAutospacing="0" w:afterAutospacing="0" w:line="360" w:lineRule="auto"/>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36CEBE01">
            <w:pPr>
              <w:pStyle w:val="33"/>
              <w:spacing w:beforeAutospacing="0" w:afterAutospacing="0" w:line="360" w:lineRule="auto"/>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F020760">
            <w:pPr>
              <w:pStyle w:val="33"/>
              <w:spacing w:beforeAutospacing="0" w:afterAutospacing="0" w:line="360" w:lineRule="auto"/>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C8FE85C">
            <w:pPr>
              <w:pStyle w:val="33"/>
              <w:spacing w:beforeAutospacing="0" w:afterAutospacing="0" w:line="360" w:lineRule="auto"/>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9B4CDCA">
            <w:pPr>
              <w:pStyle w:val="33"/>
              <w:spacing w:beforeAutospacing="0" w:afterAutospacing="0" w:line="360" w:lineRule="auto"/>
              <w:jc w:val="center"/>
              <w:rPr>
                <w:color w:val="auto"/>
                <w:highlight w:val="none"/>
              </w:rPr>
            </w:pPr>
            <w:r>
              <w:rPr>
                <w:color w:val="auto"/>
                <w:highlight w:val="none"/>
              </w:rPr>
              <w:t> </w:t>
            </w:r>
          </w:p>
        </w:tc>
      </w:tr>
      <w:tr w14:paraId="70E505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7D5E0005">
            <w:pPr>
              <w:pStyle w:val="33"/>
              <w:spacing w:beforeAutospacing="0" w:afterAutospacing="0" w:line="360" w:lineRule="auto"/>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66FECD50">
            <w:pPr>
              <w:pStyle w:val="33"/>
              <w:spacing w:beforeAutospacing="0" w:afterAutospacing="0" w:line="360" w:lineRule="auto"/>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A476E3A">
            <w:pPr>
              <w:pStyle w:val="33"/>
              <w:spacing w:beforeAutospacing="0" w:afterAutospacing="0" w:line="360" w:lineRule="auto"/>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4158CF6E">
            <w:pPr>
              <w:pStyle w:val="33"/>
              <w:spacing w:beforeAutospacing="0" w:afterAutospacing="0" w:line="360" w:lineRule="auto"/>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3A5BA071">
            <w:pPr>
              <w:pStyle w:val="33"/>
              <w:spacing w:beforeAutospacing="0" w:afterAutospacing="0" w:line="360" w:lineRule="auto"/>
              <w:jc w:val="center"/>
              <w:rPr>
                <w:color w:val="auto"/>
                <w:highlight w:val="none"/>
              </w:rPr>
            </w:pPr>
            <w:r>
              <w:rPr>
                <w:color w:val="auto"/>
                <w:highlight w:val="none"/>
              </w:rPr>
              <w:t> </w:t>
            </w:r>
          </w:p>
        </w:tc>
      </w:tr>
      <w:tr w14:paraId="585F424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59D8B8B9">
            <w:pPr>
              <w:pStyle w:val="33"/>
              <w:spacing w:beforeAutospacing="0" w:afterAutospacing="0" w:line="360" w:lineRule="auto"/>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3325029">
            <w:pPr>
              <w:pStyle w:val="33"/>
              <w:spacing w:beforeAutospacing="0" w:afterAutospacing="0" w:line="360" w:lineRule="auto"/>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0E910FF3">
            <w:pPr>
              <w:pStyle w:val="33"/>
              <w:spacing w:beforeAutospacing="0" w:afterAutospacing="0" w:line="360" w:lineRule="auto"/>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203BEA8">
            <w:pPr>
              <w:pStyle w:val="33"/>
              <w:spacing w:beforeAutospacing="0" w:afterAutospacing="0" w:line="360" w:lineRule="auto"/>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195E4BC2">
            <w:pPr>
              <w:pStyle w:val="33"/>
              <w:spacing w:beforeAutospacing="0" w:afterAutospacing="0" w:line="360" w:lineRule="auto"/>
              <w:jc w:val="center"/>
              <w:rPr>
                <w:color w:val="auto"/>
                <w:highlight w:val="none"/>
              </w:rPr>
            </w:pPr>
            <w:r>
              <w:rPr>
                <w:color w:val="auto"/>
                <w:highlight w:val="none"/>
              </w:rPr>
              <w:t> </w:t>
            </w:r>
          </w:p>
        </w:tc>
      </w:tr>
      <w:tr w14:paraId="1AC8872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2F2D4F3F">
            <w:pPr>
              <w:pStyle w:val="33"/>
              <w:spacing w:beforeAutospacing="0" w:afterAutospacing="0" w:line="360" w:lineRule="auto"/>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D95A7F8">
            <w:pPr>
              <w:pStyle w:val="33"/>
              <w:spacing w:beforeAutospacing="0" w:afterAutospacing="0" w:line="360" w:lineRule="auto"/>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1C60081D">
            <w:pPr>
              <w:pStyle w:val="33"/>
              <w:spacing w:beforeAutospacing="0" w:afterAutospacing="0" w:line="360" w:lineRule="auto"/>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BC43853">
            <w:pPr>
              <w:pStyle w:val="33"/>
              <w:spacing w:beforeAutospacing="0" w:afterAutospacing="0" w:line="360" w:lineRule="auto"/>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407BAD52">
            <w:pPr>
              <w:pStyle w:val="33"/>
              <w:spacing w:beforeAutospacing="0" w:afterAutospacing="0" w:line="360" w:lineRule="auto"/>
              <w:jc w:val="center"/>
              <w:rPr>
                <w:color w:val="auto"/>
                <w:highlight w:val="none"/>
              </w:rPr>
            </w:pPr>
            <w:r>
              <w:rPr>
                <w:color w:val="auto"/>
                <w:highlight w:val="none"/>
              </w:rPr>
              <w:t> </w:t>
            </w:r>
          </w:p>
        </w:tc>
      </w:tr>
      <w:tr w14:paraId="03F09E7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1F1579C4">
            <w:pPr>
              <w:pStyle w:val="33"/>
              <w:spacing w:beforeAutospacing="0" w:afterAutospacing="0" w:line="360" w:lineRule="auto"/>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116DD75B">
            <w:pPr>
              <w:pStyle w:val="33"/>
              <w:spacing w:beforeAutospacing="0" w:afterAutospacing="0" w:line="360" w:lineRule="auto"/>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766C8DFC">
            <w:pPr>
              <w:pStyle w:val="33"/>
              <w:spacing w:beforeAutospacing="0" w:afterAutospacing="0" w:line="360" w:lineRule="auto"/>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4F1E9CA">
            <w:pPr>
              <w:pStyle w:val="33"/>
              <w:spacing w:beforeAutospacing="0" w:afterAutospacing="0" w:line="360" w:lineRule="auto"/>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0924918">
            <w:pPr>
              <w:pStyle w:val="33"/>
              <w:spacing w:beforeAutospacing="0" w:afterAutospacing="0" w:line="360" w:lineRule="auto"/>
              <w:jc w:val="center"/>
              <w:rPr>
                <w:color w:val="auto"/>
                <w:highlight w:val="none"/>
              </w:rPr>
            </w:pPr>
            <w:r>
              <w:rPr>
                <w:color w:val="auto"/>
                <w:highlight w:val="none"/>
              </w:rPr>
              <w:t> </w:t>
            </w:r>
          </w:p>
        </w:tc>
      </w:tr>
      <w:tr w14:paraId="178F7F1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6BC99F2D">
            <w:pPr>
              <w:pStyle w:val="33"/>
              <w:spacing w:beforeAutospacing="0" w:afterAutospacing="0" w:line="360" w:lineRule="auto"/>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0DF32A9">
            <w:pPr>
              <w:pStyle w:val="33"/>
              <w:spacing w:beforeAutospacing="0" w:afterAutospacing="0" w:line="360" w:lineRule="auto"/>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4D96F212">
            <w:pPr>
              <w:pStyle w:val="33"/>
              <w:spacing w:beforeAutospacing="0" w:afterAutospacing="0" w:line="360" w:lineRule="auto"/>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F3E2E9B">
            <w:pPr>
              <w:pStyle w:val="33"/>
              <w:spacing w:beforeAutospacing="0" w:afterAutospacing="0" w:line="360" w:lineRule="auto"/>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F690C5E">
            <w:pPr>
              <w:pStyle w:val="33"/>
              <w:spacing w:beforeAutospacing="0" w:afterAutospacing="0" w:line="360" w:lineRule="auto"/>
              <w:jc w:val="center"/>
              <w:rPr>
                <w:color w:val="auto"/>
                <w:highlight w:val="none"/>
              </w:rPr>
            </w:pPr>
            <w:r>
              <w:rPr>
                <w:color w:val="auto"/>
                <w:highlight w:val="none"/>
              </w:rPr>
              <w:t> </w:t>
            </w:r>
          </w:p>
        </w:tc>
      </w:tr>
      <w:tr w14:paraId="4A37AC8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noWrap w:val="0"/>
            <w:vAlign w:val="center"/>
          </w:tcPr>
          <w:p w14:paraId="3D3B162B">
            <w:pPr>
              <w:pStyle w:val="33"/>
              <w:spacing w:beforeAutospacing="0" w:afterAutospacing="0" w:line="360" w:lineRule="auto"/>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noWrap w:val="0"/>
            <w:vAlign w:val="center"/>
          </w:tcPr>
          <w:p w14:paraId="4C0D1910">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noWrap w:val="0"/>
            <w:vAlign w:val="center"/>
          </w:tcPr>
          <w:p w14:paraId="5585DDF8">
            <w:pPr>
              <w:pStyle w:val="33"/>
              <w:spacing w:beforeAutospacing="0" w:afterAutospacing="0" w:line="360" w:lineRule="auto"/>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787C23EC">
            <w:pPr>
              <w:pStyle w:val="33"/>
              <w:spacing w:beforeAutospacing="0" w:afterAutospacing="0" w:line="360" w:lineRule="auto"/>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noWrap w:val="0"/>
            <w:vAlign w:val="center"/>
          </w:tcPr>
          <w:p w14:paraId="23D8093A">
            <w:pPr>
              <w:pStyle w:val="33"/>
              <w:spacing w:beforeAutospacing="0" w:afterAutospacing="0" w:line="360" w:lineRule="auto"/>
              <w:jc w:val="center"/>
              <w:rPr>
                <w:color w:val="auto"/>
                <w:highlight w:val="none"/>
              </w:rPr>
            </w:pPr>
            <w:r>
              <w:rPr>
                <w:color w:val="auto"/>
                <w:highlight w:val="none"/>
              </w:rPr>
              <w:t> </w:t>
            </w:r>
          </w:p>
        </w:tc>
      </w:tr>
    </w:tbl>
    <w:p w14:paraId="265DB9A4">
      <w:pPr>
        <w:pStyle w:val="33"/>
        <w:spacing w:beforeAutospacing="0" w:afterAutospacing="0" w:line="360" w:lineRule="auto"/>
        <w:jc w:val="both"/>
        <w:rPr>
          <w:color w:val="auto"/>
          <w:highlight w:val="none"/>
        </w:rPr>
      </w:pPr>
      <w:r>
        <w:rPr>
          <w:rFonts w:hint="eastAsia" w:ascii="宋体" w:hAnsi="宋体" w:eastAsia="宋体" w:cs="宋体"/>
          <w:color w:val="auto"/>
          <w:highlight w:val="none"/>
        </w:rPr>
        <w:t>注： 行数不够，可自行添加。</w:t>
      </w:r>
    </w:p>
    <w:p w14:paraId="4537EBC4">
      <w:pPr>
        <w:pStyle w:val="33"/>
        <w:spacing w:beforeAutospacing="0" w:afterAutospacing="0" w:line="360" w:lineRule="auto"/>
        <w:jc w:val="center"/>
        <w:rPr>
          <w:color w:val="auto"/>
          <w:highlight w:val="none"/>
        </w:rPr>
      </w:pPr>
      <w:r>
        <w:rPr>
          <w:color w:val="auto"/>
          <w:highlight w:val="none"/>
        </w:rPr>
        <w:t> </w:t>
      </w:r>
    </w:p>
    <w:p w14:paraId="6C128654">
      <w:pPr>
        <w:pStyle w:val="33"/>
        <w:spacing w:beforeAutospacing="0" w:afterAutospacing="0" w:line="360" w:lineRule="auto"/>
        <w:jc w:val="center"/>
        <w:rPr>
          <w:color w:val="auto"/>
          <w:highlight w:val="none"/>
        </w:rPr>
      </w:pPr>
      <w:r>
        <w:rPr>
          <w:color w:val="auto"/>
          <w:highlight w:val="none"/>
        </w:rPr>
        <w:t> </w:t>
      </w:r>
    </w:p>
    <w:p w14:paraId="1F5ED105">
      <w:pPr>
        <w:pStyle w:val="33"/>
        <w:spacing w:beforeAutospacing="0" w:afterAutospacing="0" w:line="360" w:lineRule="auto"/>
        <w:jc w:val="center"/>
        <w:rPr>
          <w:color w:val="auto"/>
          <w:highlight w:val="none"/>
        </w:rPr>
      </w:pPr>
      <w:r>
        <w:rPr>
          <w:color w:val="auto"/>
          <w:highlight w:val="none"/>
        </w:rPr>
        <w:t> </w:t>
      </w:r>
    </w:p>
    <w:p w14:paraId="2399F4AB">
      <w:pPr>
        <w:pStyle w:val="33"/>
        <w:spacing w:beforeAutospacing="0" w:afterAutospacing="0" w:line="360" w:lineRule="auto"/>
        <w:jc w:val="center"/>
        <w:rPr>
          <w:color w:val="auto"/>
          <w:highlight w:val="none"/>
        </w:rPr>
      </w:pPr>
      <w:r>
        <w:rPr>
          <w:color w:val="auto"/>
          <w:highlight w:val="none"/>
        </w:rPr>
        <w:t> </w:t>
      </w:r>
    </w:p>
    <w:p w14:paraId="2185E22D">
      <w:pPr>
        <w:pStyle w:val="33"/>
        <w:spacing w:beforeAutospacing="0" w:afterAutospacing="0" w:line="360" w:lineRule="auto"/>
        <w:jc w:val="both"/>
        <w:rPr>
          <w:color w:val="auto"/>
          <w:highlight w:val="none"/>
        </w:rPr>
      </w:pPr>
      <w:r>
        <w:rPr>
          <w:color w:val="auto"/>
          <w:highlight w:val="none"/>
        </w:rPr>
        <w:t> </w:t>
      </w:r>
    </w:p>
    <w:p w14:paraId="3C588AAC">
      <w:pPr>
        <w:pStyle w:val="33"/>
        <w:spacing w:beforeAutospacing="0" w:afterAutospacing="0" w:line="360" w:lineRule="auto"/>
        <w:jc w:val="both"/>
        <w:rPr>
          <w:color w:val="auto"/>
          <w:highlight w:val="none"/>
        </w:rPr>
      </w:pPr>
      <w:r>
        <w:rPr>
          <w:color w:val="auto"/>
          <w:highlight w:val="none"/>
        </w:rPr>
        <w:t> </w:t>
      </w:r>
    </w:p>
    <w:p w14:paraId="0410B401">
      <w:pPr>
        <w:pStyle w:val="33"/>
        <w:spacing w:beforeAutospacing="0" w:afterAutospacing="0" w:line="360" w:lineRule="auto"/>
        <w:jc w:val="both"/>
        <w:rPr>
          <w:color w:val="auto"/>
          <w:highlight w:val="none"/>
        </w:rPr>
      </w:pPr>
      <w:r>
        <w:rPr>
          <w:color w:val="auto"/>
          <w:highlight w:val="none"/>
        </w:rPr>
        <w:t> </w:t>
      </w:r>
    </w:p>
    <w:p w14:paraId="3ADC1C92">
      <w:pPr>
        <w:pStyle w:val="33"/>
        <w:spacing w:beforeAutospacing="0" w:afterAutospacing="0" w:line="360" w:lineRule="auto"/>
        <w:jc w:val="both"/>
        <w:rPr>
          <w:color w:val="auto"/>
          <w:highlight w:val="none"/>
        </w:rPr>
      </w:pPr>
      <w:r>
        <w:rPr>
          <w:color w:val="auto"/>
          <w:highlight w:val="none"/>
        </w:rPr>
        <w:t> </w:t>
      </w:r>
    </w:p>
    <w:p w14:paraId="3B1EB9BE">
      <w:pPr>
        <w:pStyle w:val="33"/>
        <w:spacing w:beforeAutospacing="0" w:afterAutospacing="0" w:line="360" w:lineRule="auto"/>
        <w:jc w:val="both"/>
        <w:rPr>
          <w:color w:val="auto"/>
          <w:highlight w:val="none"/>
        </w:rPr>
      </w:pPr>
    </w:p>
    <w:p w14:paraId="5F3C1A86">
      <w:pPr>
        <w:pStyle w:val="33"/>
        <w:spacing w:beforeAutospacing="0" w:afterAutospacing="0" w:line="360" w:lineRule="auto"/>
        <w:jc w:val="both"/>
        <w:rPr>
          <w:color w:val="auto"/>
          <w:highlight w:val="none"/>
        </w:rPr>
      </w:pPr>
    </w:p>
    <w:p w14:paraId="5FF0D2E4">
      <w:pPr>
        <w:pStyle w:val="33"/>
        <w:spacing w:beforeAutospacing="0" w:afterAutospacing="0" w:line="360" w:lineRule="auto"/>
        <w:jc w:val="both"/>
        <w:rPr>
          <w:color w:val="auto"/>
          <w:highlight w:val="none"/>
        </w:rPr>
      </w:pPr>
    </w:p>
    <w:p w14:paraId="3FCD0072">
      <w:pPr>
        <w:pStyle w:val="33"/>
        <w:spacing w:beforeAutospacing="0" w:afterAutospacing="0" w:line="360" w:lineRule="auto"/>
        <w:jc w:val="both"/>
        <w:rPr>
          <w:color w:val="auto"/>
          <w:highlight w:val="none"/>
        </w:rPr>
      </w:pPr>
    </w:p>
    <w:p w14:paraId="49CD7483">
      <w:pPr>
        <w:pStyle w:val="33"/>
        <w:spacing w:beforeAutospacing="0" w:afterAutospacing="0" w:line="360" w:lineRule="auto"/>
        <w:jc w:val="both"/>
        <w:rPr>
          <w:color w:val="auto"/>
          <w:highlight w:val="none"/>
        </w:rPr>
      </w:pPr>
    </w:p>
    <w:p w14:paraId="2575DAA3">
      <w:pPr>
        <w:pStyle w:val="33"/>
        <w:spacing w:beforeAutospacing="0" w:afterAutospacing="0" w:line="360" w:lineRule="auto"/>
        <w:jc w:val="both"/>
        <w:rPr>
          <w:color w:val="auto"/>
          <w:highlight w:val="none"/>
        </w:rPr>
      </w:pPr>
    </w:p>
    <w:p w14:paraId="182C0A50">
      <w:pPr>
        <w:rPr>
          <w:rFonts w:hint="eastAsia" w:ascii="黑体" w:hAnsi="宋体" w:eastAsia="黑体" w:cs="黑体"/>
          <w:i/>
          <w:color w:val="auto"/>
          <w:sz w:val="32"/>
          <w:szCs w:val="32"/>
          <w:highlight w:val="none"/>
          <w:u w:val="single"/>
        </w:rPr>
      </w:pPr>
      <w:bookmarkStart w:id="198" w:name="_Hlt26955054"/>
      <w:r>
        <w:rPr>
          <w:rFonts w:hint="eastAsia" w:ascii="黑体" w:hAnsi="宋体" w:eastAsia="黑体" w:cs="黑体"/>
          <w:b/>
          <w:color w:val="auto"/>
          <w:sz w:val="32"/>
          <w:szCs w:val="32"/>
          <w:highlight w:val="none"/>
        </w:rPr>
        <w:br w:type="page" w:clear="all"/>
      </w:r>
      <w:r>
        <w:rPr>
          <w:rFonts w:hint="eastAsia" w:ascii="黑体" w:hAnsi="宋体" w:eastAsia="黑体" w:cs="黑体"/>
          <w:i/>
          <w:color w:val="auto"/>
          <w:sz w:val="32"/>
          <w:szCs w:val="32"/>
          <w:highlight w:val="none"/>
          <w:u w:val="single"/>
        </w:rPr>
        <w:t>十三、商务要求响应及偏离表</w:t>
      </w:r>
    </w:p>
    <w:tbl>
      <w:tblPr>
        <w:tblStyle w:val="38"/>
        <w:tblW w:w="8520" w:type="dxa"/>
        <w:tblCellSpacing w:w="0" w:type="dxa"/>
        <w:tblInd w:w="10" w:type="dxa"/>
        <w:tblLayout w:type="fixed"/>
        <w:tblCellMar>
          <w:top w:w="0" w:type="dxa"/>
          <w:left w:w="108" w:type="dxa"/>
          <w:bottom w:w="0" w:type="dxa"/>
          <w:right w:w="108" w:type="dxa"/>
        </w:tblCellMar>
      </w:tblPr>
      <w:tblGrid>
        <w:gridCol w:w="836"/>
        <w:gridCol w:w="2294"/>
        <w:gridCol w:w="2645"/>
        <w:gridCol w:w="1244"/>
        <w:gridCol w:w="1501"/>
      </w:tblGrid>
      <w:tr w14:paraId="3C152B2B">
        <w:tblPrEx>
          <w:tblCellMar>
            <w:top w:w="0" w:type="dxa"/>
            <w:left w:w="108" w:type="dxa"/>
            <w:bottom w:w="0" w:type="dxa"/>
            <w:right w:w="108" w:type="dxa"/>
          </w:tblCellMar>
        </w:tblPrEx>
        <w:trPr>
          <w:tblCellSpacing w:w="0" w:type="dxa"/>
        </w:trPr>
        <w:tc>
          <w:tcPr>
            <w:tcW w:w="836" w:type="dxa"/>
            <w:tcBorders>
              <w:top w:val="single" w:color="000000" w:sz="4" w:space="0"/>
              <w:left w:val="single" w:color="000000" w:sz="4" w:space="0"/>
              <w:bottom w:val="single" w:color="000000" w:sz="4" w:space="0"/>
              <w:right w:val="single" w:color="000000" w:sz="4" w:space="0"/>
            </w:tcBorders>
            <w:noWrap w:val="0"/>
            <w:vAlign w:val="center"/>
          </w:tcPr>
          <w:p w14:paraId="4FE97A26">
            <w:pPr>
              <w:pStyle w:val="33"/>
              <w:spacing w:beforeAutospacing="0" w:afterAutospacing="0" w:line="360" w:lineRule="auto"/>
              <w:jc w:val="center"/>
              <w:rPr>
                <w:color w:val="auto"/>
                <w:highlight w:val="none"/>
              </w:rPr>
            </w:pPr>
            <w:bookmarkStart w:id="199" w:name="_Hlt24879081"/>
            <w:bookmarkStart w:id="200" w:name="_Hlt26671372"/>
            <w:bookmarkStart w:id="201" w:name="_Hlt26671343"/>
            <w:bookmarkStart w:id="202" w:name="_Hlt26782999"/>
            <w:bookmarkStart w:id="203" w:name="_Hlt26609391"/>
            <w:bookmarkStart w:id="204" w:name="_Hlt26955056"/>
            <w:bookmarkStart w:id="205" w:name="_Hlt26580838"/>
            <w:bookmarkStart w:id="206" w:name="_Hlt26955064"/>
            <w:r>
              <w:rPr>
                <w:rFonts w:hint="eastAsia" w:ascii="宋体" w:hAnsi="宋体" w:eastAsia="宋体" w:cs="宋体"/>
                <w:color w:val="auto"/>
                <w:highlight w:val="none"/>
              </w:rPr>
              <w:t>序号</w:t>
            </w:r>
            <w:bookmarkEnd w:id="199"/>
            <w:bookmarkEnd w:id="200"/>
            <w:bookmarkEnd w:id="201"/>
            <w:bookmarkEnd w:id="202"/>
            <w:bookmarkEnd w:id="203"/>
            <w:bookmarkEnd w:id="204"/>
            <w:bookmarkEnd w:id="205"/>
            <w:bookmarkEnd w:id="206"/>
          </w:p>
        </w:tc>
        <w:tc>
          <w:tcPr>
            <w:tcW w:w="2294" w:type="dxa"/>
            <w:tcBorders>
              <w:top w:val="single" w:color="000000" w:sz="4" w:space="0"/>
              <w:left w:val="single" w:color="000000" w:sz="4" w:space="0"/>
              <w:bottom w:val="single" w:color="000000" w:sz="4" w:space="0"/>
              <w:right w:val="single" w:color="000000" w:sz="4" w:space="0"/>
            </w:tcBorders>
            <w:noWrap w:val="0"/>
            <w:vAlign w:val="center"/>
          </w:tcPr>
          <w:p w14:paraId="008D000A">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9BE9631">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76CE80EE">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2DE5BC0">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证明</w:t>
            </w:r>
          </w:p>
          <w:p w14:paraId="69AF056F">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材料</w:t>
            </w:r>
          </w:p>
        </w:tc>
      </w:tr>
      <w:tr w14:paraId="62F9A691">
        <w:tblPrEx>
          <w:tblCellMar>
            <w:top w:w="0" w:type="dxa"/>
            <w:left w:w="108" w:type="dxa"/>
            <w:bottom w:w="0" w:type="dxa"/>
            <w:right w:w="108" w:type="dxa"/>
          </w:tblCellMar>
        </w:tblPrEx>
        <w:trPr>
          <w:trHeight w:val="640" w:hRule="atLeast"/>
          <w:tblCellSpacing w:w="0" w:type="dxa"/>
        </w:trPr>
        <w:tc>
          <w:tcPr>
            <w:tcW w:w="836" w:type="dxa"/>
            <w:tcBorders>
              <w:top w:val="single" w:color="000000" w:sz="4" w:space="0"/>
              <w:left w:val="single" w:color="000000" w:sz="4" w:space="0"/>
              <w:bottom w:val="single" w:color="000000" w:sz="4" w:space="0"/>
              <w:right w:val="single" w:color="000000" w:sz="4" w:space="0"/>
            </w:tcBorders>
            <w:noWrap w:val="0"/>
            <w:vAlign w:val="center"/>
          </w:tcPr>
          <w:p w14:paraId="16789CBE">
            <w:pPr>
              <w:pStyle w:val="33"/>
              <w:spacing w:beforeAutospacing="0" w:afterAutospacing="0" w:line="360" w:lineRule="auto"/>
              <w:jc w:val="center"/>
              <w:rPr>
                <w:color w:val="auto"/>
                <w:highlight w:val="none"/>
              </w:rPr>
            </w:pPr>
            <w:r>
              <w:rPr>
                <w:color w:val="auto"/>
                <w:highlight w:val="none"/>
              </w:rPr>
              <w:t> </w:t>
            </w:r>
          </w:p>
        </w:tc>
        <w:tc>
          <w:tcPr>
            <w:tcW w:w="2294" w:type="dxa"/>
            <w:tcBorders>
              <w:top w:val="single" w:color="000000" w:sz="4" w:space="0"/>
              <w:left w:val="single" w:color="000000" w:sz="4" w:space="0"/>
              <w:bottom w:val="single" w:color="000000" w:sz="4" w:space="0"/>
              <w:right w:val="single" w:color="000000" w:sz="4" w:space="0"/>
            </w:tcBorders>
            <w:noWrap w:val="0"/>
            <w:vAlign w:val="center"/>
          </w:tcPr>
          <w:p w14:paraId="1519E4FA">
            <w:pPr>
              <w:pStyle w:val="33"/>
              <w:spacing w:beforeAutospacing="0" w:afterAutospacing="0" w:line="360" w:lineRule="auto"/>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23D42A7">
            <w:pPr>
              <w:pStyle w:val="33"/>
              <w:spacing w:beforeAutospacing="0" w:afterAutospacing="0" w:line="360" w:lineRule="auto"/>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D175284">
            <w:pPr>
              <w:pStyle w:val="33"/>
              <w:spacing w:beforeAutospacing="0" w:afterAutospacing="0" w:line="360" w:lineRule="auto"/>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3D986AA2">
            <w:pPr>
              <w:pStyle w:val="33"/>
              <w:spacing w:beforeAutospacing="0" w:afterAutospacing="0" w:line="360" w:lineRule="auto"/>
              <w:jc w:val="center"/>
              <w:rPr>
                <w:color w:val="auto"/>
                <w:highlight w:val="none"/>
              </w:rPr>
            </w:pPr>
            <w:r>
              <w:rPr>
                <w:color w:val="auto"/>
                <w:highlight w:val="none"/>
              </w:rPr>
              <w:t> </w:t>
            </w:r>
          </w:p>
        </w:tc>
      </w:tr>
      <w:tr w14:paraId="03F1B1E0">
        <w:tblPrEx>
          <w:tblCellMar>
            <w:top w:w="0" w:type="dxa"/>
            <w:left w:w="108" w:type="dxa"/>
            <w:bottom w:w="0" w:type="dxa"/>
            <w:right w:w="108" w:type="dxa"/>
          </w:tblCellMar>
        </w:tblPrEx>
        <w:trPr>
          <w:trHeight w:val="640" w:hRule="atLeast"/>
          <w:tblCellSpacing w:w="0" w:type="dxa"/>
        </w:trPr>
        <w:tc>
          <w:tcPr>
            <w:tcW w:w="836" w:type="dxa"/>
            <w:tcBorders>
              <w:top w:val="single" w:color="000000" w:sz="4" w:space="0"/>
              <w:left w:val="single" w:color="000000" w:sz="4" w:space="0"/>
              <w:bottom w:val="single" w:color="000000" w:sz="4" w:space="0"/>
              <w:right w:val="single" w:color="000000" w:sz="4" w:space="0"/>
            </w:tcBorders>
            <w:noWrap w:val="0"/>
            <w:vAlign w:val="center"/>
          </w:tcPr>
          <w:p w14:paraId="7746C02C">
            <w:pPr>
              <w:pStyle w:val="33"/>
              <w:spacing w:beforeAutospacing="0" w:afterAutospacing="0" w:line="360" w:lineRule="auto"/>
              <w:jc w:val="center"/>
              <w:rPr>
                <w:color w:val="auto"/>
                <w:highlight w:val="none"/>
              </w:rPr>
            </w:pPr>
            <w:r>
              <w:rPr>
                <w:color w:val="auto"/>
                <w:highlight w:val="none"/>
              </w:rPr>
              <w:t> </w:t>
            </w:r>
          </w:p>
        </w:tc>
        <w:tc>
          <w:tcPr>
            <w:tcW w:w="2294" w:type="dxa"/>
            <w:tcBorders>
              <w:top w:val="single" w:color="000000" w:sz="4" w:space="0"/>
              <w:left w:val="single" w:color="000000" w:sz="4" w:space="0"/>
              <w:bottom w:val="single" w:color="000000" w:sz="4" w:space="0"/>
              <w:right w:val="single" w:color="000000" w:sz="4" w:space="0"/>
            </w:tcBorders>
            <w:noWrap w:val="0"/>
            <w:vAlign w:val="center"/>
          </w:tcPr>
          <w:p w14:paraId="5CFD65B7">
            <w:pPr>
              <w:pStyle w:val="33"/>
              <w:spacing w:beforeAutospacing="0" w:afterAutospacing="0" w:line="360" w:lineRule="auto"/>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01787B0">
            <w:pPr>
              <w:pStyle w:val="33"/>
              <w:spacing w:beforeAutospacing="0" w:afterAutospacing="0" w:line="360" w:lineRule="auto"/>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788D75C">
            <w:pPr>
              <w:pStyle w:val="33"/>
              <w:spacing w:beforeAutospacing="0" w:afterAutospacing="0" w:line="360" w:lineRule="auto"/>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0FBA1E4">
            <w:pPr>
              <w:pStyle w:val="33"/>
              <w:spacing w:beforeAutospacing="0" w:afterAutospacing="0" w:line="360" w:lineRule="auto"/>
              <w:jc w:val="center"/>
              <w:rPr>
                <w:color w:val="auto"/>
                <w:highlight w:val="none"/>
              </w:rPr>
            </w:pPr>
            <w:r>
              <w:rPr>
                <w:color w:val="auto"/>
                <w:highlight w:val="none"/>
              </w:rPr>
              <w:t> </w:t>
            </w:r>
          </w:p>
        </w:tc>
      </w:tr>
      <w:tr w14:paraId="6944CD5E">
        <w:tblPrEx>
          <w:tblCellMar>
            <w:top w:w="0" w:type="dxa"/>
            <w:left w:w="108" w:type="dxa"/>
            <w:bottom w:w="0" w:type="dxa"/>
            <w:right w:w="108" w:type="dxa"/>
          </w:tblCellMar>
        </w:tblPrEx>
        <w:trPr>
          <w:trHeight w:val="640" w:hRule="atLeast"/>
          <w:tblCellSpacing w:w="0" w:type="dxa"/>
        </w:trPr>
        <w:tc>
          <w:tcPr>
            <w:tcW w:w="836" w:type="dxa"/>
            <w:tcBorders>
              <w:top w:val="single" w:color="000000" w:sz="4" w:space="0"/>
              <w:left w:val="single" w:color="000000" w:sz="4" w:space="0"/>
              <w:bottom w:val="single" w:color="000000" w:sz="4" w:space="0"/>
              <w:right w:val="single" w:color="000000" w:sz="4" w:space="0"/>
            </w:tcBorders>
            <w:noWrap w:val="0"/>
            <w:vAlign w:val="center"/>
          </w:tcPr>
          <w:p w14:paraId="1193457A">
            <w:pPr>
              <w:pStyle w:val="33"/>
              <w:spacing w:beforeAutospacing="0" w:afterAutospacing="0" w:line="360" w:lineRule="auto"/>
              <w:jc w:val="center"/>
              <w:rPr>
                <w:color w:val="auto"/>
                <w:highlight w:val="none"/>
              </w:rPr>
            </w:pPr>
            <w:r>
              <w:rPr>
                <w:color w:val="auto"/>
                <w:highlight w:val="none"/>
              </w:rPr>
              <w:t> </w:t>
            </w:r>
          </w:p>
        </w:tc>
        <w:tc>
          <w:tcPr>
            <w:tcW w:w="2294" w:type="dxa"/>
            <w:tcBorders>
              <w:top w:val="single" w:color="000000" w:sz="4" w:space="0"/>
              <w:left w:val="single" w:color="000000" w:sz="4" w:space="0"/>
              <w:bottom w:val="single" w:color="000000" w:sz="4" w:space="0"/>
              <w:right w:val="single" w:color="000000" w:sz="4" w:space="0"/>
            </w:tcBorders>
            <w:noWrap w:val="0"/>
            <w:vAlign w:val="center"/>
          </w:tcPr>
          <w:p w14:paraId="4E672FC8">
            <w:pPr>
              <w:pStyle w:val="33"/>
              <w:spacing w:beforeAutospacing="0" w:afterAutospacing="0" w:line="360" w:lineRule="auto"/>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CBCB42C">
            <w:pPr>
              <w:pStyle w:val="33"/>
              <w:spacing w:beforeAutospacing="0" w:afterAutospacing="0" w:line="360" w:lineRule="auto"/>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75FEAEF">
            <w:pPr>
              <w:pStyle w:val="33"/>
              <w:spacing w:beforeAutospacing="0" w:afterAutospacing="0" w:line="360" w:lineRule="auto"/>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3E5A3FD">
            <w:pPr>
              <w:pStyle w:val="33"/>
              <w:spacing w:beforeAutospacing="0" w:afterAutospacing="0" w:line="360" w:lineRule="auto"/>
              <w:jc w:val="center"/>
              <w:rPr>
                <w:color w:val="auto"/>
                <w:highlight w:val="none"/>
              </w:rPr>
            </w:pPr>
            <w:r>
              <w:rPr>
                <w:color w:val="auto"/>
                <w:highlight w:val="none"/>
              </w:rPr>
              <w:t> </w:t>
            </w:r>
          </w:p>
        </w:tc>
      </w:tr>
      <w:tr w14:paraId="417B8D7E">
        <w:tblPrEx>
          <w:tblCellMar>
            <w:top w:w="0" w:type="dxa"/>
            <w:left w:w="108" w:type="dxa"/>
            <w:bottom w:w="0" w:type="dxa"/>
            <w:right w:w="108" w:type="dxa"/>
          </w:tblCellMar>
        </w:tblPrEx>
        <w:trPr>
          <w:trHeight w:val="640" w:hRule="atLeast"/>
          <w:tblCellSpacing w:w="0" w:type="dxa"/>
        </w:trPr>
        <w:tc>
          <w:tcPr>
            <w:tcW w:w="836" w:type="dxa"/>
            <w:tcBorders>
              <w:top w:val="single" w:color="000000" w:sz="4" w:space="0"/>
              <w:left w:val="single" w:color="000000" w:sz="4" w:space="0"/>
              <w:bottom w:val="single" w:color="000000" w:sz="4" w:space="0"/>
              <w:right w:val="single" w:color="000000" w:sz="4" w:space="0"/>
            </w:tcBorders>
            <w:noWrap w:val="0"/>
            <w:vAlign w:val="center"/>
          </w:tcPr>
          <w:p w14:paraId="3727E4E1">
            <w:pPr>
              <w:pStyle w:val="33"/>
              <w:spacing w:beforeAutospacing="0" w:afterAutospacing="0" w:line="360" w:lineRule="auto"/>
              <w:jc w:val="center"/>
              <w:rPr>
                <w:color w:val="auto"/>
                <w:highlight w:val="none"/>
              </w:rPr>
            </w:pPr>
            <w:r>
              <w:rPr>
                <w:color w:val="auto"/>
                <w:highlight w:val="none"/>
              </w:rPr>
              <w:t> </w:t>
            </w:r>
          </w:p>
        </w:tc>
        <w:tc>
          <w:tcPr>
            <w:tcW w:w="2294" w:type="dxa"/>
            <w:tcBorders>
              <w:top w:val="single" w:color="000000" w:sz="4" w:space="0"/>
              <w:left w:val="single" w:color="000000" w:sz="4" w:space="0"/>
              <w:bottom w:val="single" w:color="000000" w:sz="4" w:space="0"/>
              <w:right w:val="single" w:color="000000" w:sz="4" w:space="0"/>
            </w:tcBorders>
            <w:noWrap w:val="0"/>
            <w:vAlign w:val="center"/>
          </w:tcPr>
          <w:p w14:paraId="5FF0DE67">
            <w:pPr>
              <w:pStyle w:val="33"/>
              <w:spacing w:beforeAutospacing="0" w:afterAutospacing="0" w:line="360" w:lineRule="auto"/>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9F25F72">
            <w:pPr>
              <w:pStyle w:val="33"/>
              <w:spacing w:beforeAutospacing="0" w:afterAutospacing="0" w:line="360" w:lineRule="auto"/>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14204311">
            <w:pPr>
              <w:pStyle w:val="33"/>
              <w:spacing w:beforeAutospacing="0" w:afterAutospacing="0" w:line="360" w:lineRule="auto"/>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3B1AE5A4">
            <w:pPr>
              <w:pStyle w:val="33"/>
              <w:spacing w:beforeAutospacing="0" w:afterAutospacing="0" w:line="360" w:lineRule="auto"/>
              <w:jc w:val="center"/>
              <w:rPr>
                <w:color w:val="auto"/>
                <w:highlight w:val="none"/>
              </w:rPr>
            </w:pPr>
            <w:r>
              <w:rPr>
                <w:color w:val="auto"/>
                <w:highlight w:val="none"/>
              </w:rPr>
              <w:t> </w:t>
            </w:r>
          </w:p>
        </w:tc>
      </w:tr>
      <w:tr w14:paraId="5329F8A8">
        <w:tblPrEx>
          <w:tblCellMar>
            <w:top w:w="0" w:type="dxa"/>
            <w:left w:w="108" w:type="dxa"/>
            <w:bottom w:w="0" w:type="dxa"/>
            <w:right w:w="108" w:type="dxa"/>
          </w:tblCellMar>
        </w:tblPrEx>
        <w:trPr>
          <w:trHeight w:val="640" w:hRule="atLeast"/>
          <w:tblCellSpacing w:w="0" w:type="dxa"/>
        </w:trPr>
        <w:tc>
          <w:tcPr>
            <w:tcW w:w="836" w:type="dxa"/>
            <w:tcBorders>
              <w:top w:val="single" w:color="000000" w:sz="4" w:space="0"/>
              <w:left w:val="single" w:color="000000" w:sz="4" w:space="0"/>
              <w:bottom w:val="single" w:color="000000" w:sz="4" w:space="0"/>
              <w:right w:val="single" w:color="000000" w:sz="4" w:space="0"/>
            </w:tcBorders>
            <w:noWrap w:val="0"/>
            <w:vAlign w:val="center"/>
          </w:tcPr>
          <w:p w14:paraId="6C0B0CE1">
            <w:pPr>
              <w:pStyle w:val="33"/>
              <w:spacing w:beforeAutospacing="0" w:afterAutospacing="0" w:line="360" w:lineRule="auto"/>
              <w:jc w:val="center"/>
              <w:rPr>
                <w:color w:val="auto"/>
                <w:highlight w:val="none"/>
              </w:rPr>
            </w:pPr>
            <w:r>
              <w:rPr>
                <w:color w:val="auto"/>
                <w:highlight w:val="none"/>
              </w:rPr>
              <w:t> </w:t>
            </w:r>
          </w:p>
        </w:tc>
        <w:tc>
          <w:tcPr>
            <w:tcW w:w="2294" w:type="dxa"/>
            <w:tcBorders>
              <w:top w:val="single" w:color="000000" w:sz="4" w:space="0"/>
              <w:left w:val="single" w:color="000000" w:sz="4" w:space="0"/>
              <w:bottom w:val="single" w:color="000000" w:sz="4" w:space="0"/>
              <w:right w:val="single" w:color="000000" w:sz="4" w:space="0"/>
            </w:tcBorders>
            <w:noWrap w:val="0"/>
            <w:vAlign w:val="center"/>
          </w:tcPr>
          <w:p w14:paraId="200B884A">
            <w:pPr>
              <w:pStyle w:val="33"/>
              <w:spacing w:beforeAutospacing="0" w:afterAutospacing="0" w:line="360" w:lineRule="auto"/>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CBA3679">
            <w:pPr>
              <w:pStyle w:val="33"/>
              <w:spacing w:beforeAutospacing="0" w:afterAutospacing="0" w:line="360" w:lineRule="auto"/>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28D3B1B">
            <w:pPr>
              <w:pStyle w:val="33"/>
              <w:spacing w:beforeAutospacing="0" w:afterAutospacing="0" w:line="360" w:lineRule="auto"/>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DA1881D">
            <w:pPr>
              <w:pStyle w:val="33"/>
              <w:spacing w:beforeAutospacing="0" w:afterAutospacing="0" w:line="360" w:lineRule="auto"/>
              <w:jc w:val="center"/>
              <w:rPr>
                <w:color w:val="auto"/>
                <w:highlight w:val="none"/>
              </w:rPr>
            </w:pPr>
            <w:r>
              <w:rPr>
                <w:color w:val="auto"/>
                <w:highlight w:val="none"/>
              </w:rPr>
              <w:t> </w:t>
            </w:r>
          </w:p>
        </w:tc>
      </w:tr>
      <w:tr w14:paraId="7E77767D">
        <w:tblPrEx>
          <w:tblCellMar>
            <w:top w:w="0" w:type="dxa"/>
            <w:left w:w="108" w:type="dxa"/>
            <w:bottom w:w="0" w:type="dxa"/>
            <w:right w:w="108" w:type="dxa"/>
          </w:tblCellMar>
        </w:tblPrEx>
        <w:trPr>
          <w:trHeight w:val="640" w:hRule="atLeast"/>
          <w:tblCellSpacing w:w="0" w:type="dxa"/>
        </w:trPr>
        <w:tc>
          <w:tcPr>
            <w:tcW w:w="836" w:type="dxa"/>
            <w:tcBorders>
              <w:top w:val="single" w:color="000000" w:sz="4" w:space="0"/>
              <w:left w:val="single" w:color="000000" w:sz="4" w:space="0"/>
              <w:bottom w:val="single" w:color="000000" w:sz="4" w:space="0"/>
              <w:right w:val="single" w:color="000000" w:sz="4" w:space="0"/>
            </w:tcBorders>
            <w:noWrap w:val="0"/>
            <w:vAlign w:val="center"/>
          </w:tcPr>
          <w:p w14:paraId="3D8BA032">
            <w:pPr>
              <w:pStyle w:val="33"/>
              <w:spacing w:beforeAutospacing="0" w:afterAutospacing="0" w:line="360" w:lineRule="auto"/>
              <w:jc w:val="center"/>
              <w:rPr>
                <w:color w:val="auto"/>
                <w:highlight w:val="none"/>
              </w:rPr>
            </w:pPr>
            <w:r>
              <w:rPr>
                <w:color w:val="auto"/>
                <w:highlight w:val="none"/>
              </w:rPr>
              <w:t> </w:t>
            </w:r>
          </w:p>
        </w:tc>
        <w:tc>
          <w:tcPr>
            <w:tcW w:w="2294" w:type="dxa"/>
            <w:tcBorders>
              <w:top w:val="single" w:color="000000" w:sz="4" w:space="0"/>
              <w:left w:val="single" w:color="000000" w:sz="4" w:space="0"/>
              <w:bottom w:val="single" w:color="000000" w:sz="4" w:space="0"/>
              <w:right w:val="single" w:color="000000" w:sz="4" w:space="0"/>
            </w:tcBorders>
            <w:noWrap w:val="0"/>
            <w:vAlign w:val="center"/>
          </w:tcPr>
          <w:p w14:paraId="2AF7C802">
            <w:pPr>
              <w:pStyle w:val="33"/>
              <w:spacing w:beforeAutospacing="0" w:afterAutospacing="0" w:line="360" w:lineRule="auto"/>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1119988">
            <w:pPr>
              <w:pStyle w:val="33"/>
              <w:spacing w:beforeAutospacing="0" w:afterAutospacing="0" w:line="360" w:lineRule="auto"/>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201F2984">
            <w:pPr>
              <w:pStyle w:val="33"/>
              <w:spacing w:beforeAutospacing="0" w:afterAutospacing="0" w:line="360" w:lineRule="auto"/>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D662B13">
            <w:pPr>
              <w:pStyle w:val="33"/>
              <w:spacing w:beforeAutospacing="0" w:afterAutospacing="0" w:line="360" w:lineRule="auto"/>
              <w:jc w:val="center"/>
              <w:rPr>
                <w:color w:val="auto"/>
                <w:highlight w:val="none"/>
              </w:rPr>
            </w:pPr>
            <w:r>
              <w:rPr>
                <w:color w:val="auto"/>
                <w:highlight w:val="none"/>
              </w:rPr>
              <w:t> </w:t>
            </w:r>
          </w:p>
        </w:tc>
      </w:tr>
      <w:tr w14:paraId="061AC249">
        <w:tblPrEx>
          <w:tblCellMar>
            <w:top w:w="0" w:type="dxa"/>
            <w:left w:w="108" w:type="dxa"/>
            <w:bottom w:w="0" w:type="dxa"/>
            <w:right w:w="108" w:type="dxa"/>
          </w:tblCellMar>
        </w:tblPrEx>
        <w:trPr>
          <w:trHeight w:val="640" w:hRule="atLeast"/>
          <w:tblCellSpacing w:w="0" w:type="dxa"/>
        </w:trPr>
        <w:tc>
          <w:tcPr>
            <w:tcW w:w="836" w:type="dxa"/>
            <w:tcBorders>
              <w:top w:val="single" w:color="000000" w:sz="4" w:space="0"/>
              <w:left w:val="single" w:color="000000" w:sz="4" w:space="0"/>
              <w:bottom w:val="single" w:color="000000" w:sz="4" w:space="0"/>
              <w:right w:val="single" w:color="000000" w:sz="4" w:space="0"/>
            </w:tcBorders>
            <w:noWrap w:val="0"/>
            <w:vAlign w:val="center"/>
          </w:tcPr>
          <w:p w14:paraId="3B50870B">
            <w:pPr>
              <w:pStyle w:val="33"/>
              <w:spacing w:beforeAutospacing="0" w:afterAutospacing="0" w:line="360" w:lineRule="auto"/>
              <w:jc w:val="center"/>
              <w:rPr>
                <w:color w:val="auto"/>
                <w:highlight w:val="none"/>
              </w:rPr>
            </w:pPr>
            <w:r>
              <w:rPr>
                <w:color w:val="auto"/>
                <w:highlight w:val="none"/>
              </w:rPr>
              <w:t> </w:t>
            </w:r>
          </w:p>
        </w:tc>
        <w:tc>
          <w:tcPr>
            <w:tcW w:w="2294" w:type="dxa"/>
            <w:tcBorders>
              <w:top w:val="single" w:color="000000" w:sz="4" w:space="0"/>
              <w:left w:val="single" w:color="000000" w:sz="4" w:space="0"/>
              <w:bottom w:val="single" w:color="000000" w:sz="4" w:space="0"/>
              <w:right w:val="single" w:color="000000" w:sz="4" w:space="0"/>
            </w:tcBorders>
            <w:noWrap w:val="0"/>
            <w:vAlign w:val="center"/>
          </w:tcPr>
          <w:p w14:paraId="5FF15CF2">
            <w:pPr>
              <w:pStyle w:val="33"/>
              <w:spacing w:beforeAutospacing="0" w:afterAutospacing="0" w:line="360" w:lineRule="auto"/>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9F78F74">
            <w:pPr>
              <w:pStyle w:val="33"/>
              <w:spacing w:beforeAutospacing="0" w:afterAutospacing="0" w:line="360" w:lineRule="auto"/>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A08CECF">
            <w:pPr>
              <w:pStyle w:val="33"/>
              <w:spacing w:beforeAutospacing="0" w:afterAutospacing="0" w:line="360" w:lineRule="auto"/>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353B3F7D">
            <w:pPr>
              <w:pStyle w:val="33"/>
              <w:spacing w:beforeAutospacing="0" w:afterAutospacing="0" w:line="360" w:lineRule="auto"/>
              <w:jc w:val="center"/>
              <w:rPr>
                <w:color w:val="auto"/>
                <w:highlight w:val="none"/>
              </w:rPr>
            </w:pPr>
            <w:r>
              <w:rPr>
                <w:color w:val="auto"/>
                <w:highlight w:val="none"/>
              </w:rPr>
              <w:t> </w:t>
            </w:r>
          </w:p>
        </w:tc>
      </w:tr>
      <w:tr w14:paraId="16D6C86F">
        <w:tblPrEx>
          <w:tblCellMar>
            <w:top w:w="0" w:type="dxa"/>
            <w:left w:w="108" w:type="dxa"/>
            <w:bottom w:w="0" w:type="dxa"/>
            <w:right w:w="108" w:type="dxa"/>
          </w:tblCellMar>
        </w:tblPrEx>
        <w:trPr>
          <w:trHeight w:val="640" w:hRule="atLeast"/>
          <w:tblCellSpacing w:w="0" w:type="dxa"/>
        </w:trPr>
        <w:tc>
          <w:tcPr>
            <w:tcW w:w="836" w:type="dxa"/>
            <w:tcBorders>
              <w:top w:val="single" w:color="000000" w:sz="4" w:space="0"/>
              <w:left w:val="single" w:color="000000" w:sz="4" w:space="0"/>
              <w:bottom w:val="single" w:color="000000" w:sz="4" w:space="0"/>
              <w:right w:val="single" w:color="000000" w:sz="4" w:space="0"/>
            </w:tcBorders>
            <w:noWrap w:val="0"/>
            <w:vAlign w:val="center"/>
          </w:tcPr>
          <w:p w14:paraId="2DA708C5">
            <w:pPr>
              <w:pStyle w:val="33"/>
              <w:spacing w:beforeAutospacing="0" w:afterAutospacing="0" w:line="360" w:lineRule="auto"/>
              <w:jc w:val="center"/>
              <w:rPr>
                <w:color w:val="auto"/>
                <w:highlight w:val="none"/>
              </w:rPr>
            </w:pPr>
            <w:r>
              <w:rPr>
                <w:color w:val="auto"/>
                <w:highlight w:val="none"/>
              </w:rPr>
              <w:t> </w:t>
            </w:r>
          </w:p>
        </w:tc>
        <w:tc>
          <w:tcPr>
            <w:tcW w:w="2294" w:type="dxa"/>
            <w:tcBorders>
              <w:top w:val="single" w:color="000000" w:sz="4" w:space="0"/>
              <w:left w:val="single" w:color="000000" w:sz="4" w:space="0"/>
              <w:bottom w:val="single" w:color="000000" w:sz="4" w:space="0"/>
              <w:right w:val="single" w:color="000000" w:sz="4" w:space="0"/>
            </w:tcBorders>
            <w:noWrap w:val="0"/>
            <w:vAlign w:val="center"/>
          </w:tcPr>
          <w:p w14:paraId="0276DFFA">
            <w:pPr>
              <w:pStyle w:val="33"/>
              <w:spacing w:beforeAutospacing="0" w:afterAutospacing="0" w:line="360" w:lineRule="auto"/>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65BF5D6">
            <w:pPr>
              <w:pStyle w:val="33"/>
              <w:spacing w:beforeAutospacing="0" w:afterAutospacing="0" w:line="360" w:lineRule="auto"/>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7AFEC68">
            <w:pPr>
              <w:pStyle w:val="33"/>
              <w:spacing w:beforeAutospacing="0" w:afterAutospacing="0" w:line="360" w:lineRule="auto"/>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142A8A1">
            <w:pPr>
              <w:pStyle w:val="33"/>
              <w:spacing w:beforeAutospacing="0" w:afterAutospacing="0" w:line="360" w:lineRule="auto"/>
              <w:jc w:val="center"/>
              <w:rPr>
                <w:color w:val="auto"/>
                <w:highlight w:val="none"/>
              </w:rPr>
            </w:pPr>
            <w:r>
              <w:rPr>
                <w:color w:val="auto"/>
                <w:highlight w:val="none"/>
              </w:rPr>
              <w:t> </w:t>
            </w:r>
          </w:p>
        </w:tc>
      </w:tr>
    </w:tbl>
    <w:p w14:paraId="37CF04CD">
      <w:pPr>
        <w:pStyle w:val="33"/>
        <w:spacing w:beforeAutospacing="0" w:afterAutospacing="0" w:line="360" w:lineRule="auto"/>
        <w:jc w:val="both"/>
        <w:rPr>
          <w:color w:val="auto"/>
          <w:highlight w:val="none"/>
        </w:rPr>
      </w:pPr>
      <w:r>
        <w:rPr>
          <w:rFonts w:hint="eastAsia" w:ascii="宋体" w:hAnsi="宋体" w:eastAsia="宋体" w:cs="宋体"/>
          <w:color w:val="auto"/>
          <w:highlight w:val="none"/>
        </w:rPr>
        <w:t>注： 行数不够，可自行添加。</w:t>
      </w:r>
    </w:p>
    <w:p w14:paraId="33158DD4">
      <w:pPr>
        <w:pStyle w:val="33"/>
        <w:spacing w:beforeAutospacing="0" w:afterAutospacing="0" w:line="360" w:lineRule="auto"/>
        <w:jc w:val="both"/>
        <w:rPr>
          <w:color w:val="auto"/>
          <w:highlight w:val="none"/>
        </w:rPr>
      </w:pPr>
      <w:r>
        <w:rPr>
          <w:color w:val="auto"/>
          <w:highlight w:val="none"/>
        </w:rPr>
        <w:t> </w:t>
      </w:r>
    </w:p>
    <w:p w14:paraId="0905E085">
      <w:pPr>
        <w:pStyle w:val="33"/>
        <w:spacing w:beforeAutospacing="0" w:afterAutospacing="0" w:line="360" w:lineRule="auto"/>
        <w:jc w:val="both"/>
        <w:rPr>
          <w:color w:val="auto"/>
          <w:highlight w:val="none"/>
        </w:rPr>
      </w:pPr>
      <w:r>
        <w:rPr>
          <w:color w:val="auto"/>
          <w:highlight w:val="none"/>
        </w:rPr>
        <w:t> </w:t>
      </w:r>
    </w:p>
    <w:p w14:paraId="005417F3">
      <w:pPr>
        <w:pStyle w:val="33"/>
        <w:spacing w:beforeAutospacing="0" w:afterAutospacing="0" w:line="360" w:lineRule="auto"/>
        <w:jc w:val="center"/>
        <w:rPr>
          <w:color w:val="auto"/>
          <w:highlight w:val="none"/>
        </w:rPr>
      </w:pPr>
      <w:bookmarkStart w:id="207" w:name="_Hlt26609389"/>
      <w:bookmarkStart w:id="208" w:name="_Toc462564146"/>
      <w:bookmarkStart w:id="209" w:name="_格式2__法定代表人授权书"/>
      <w:bookmarkStart w:id="210" w:name="_Hlt26671374"/>
      <w:bookmarkStart w:id="211" w:name="_Hlt26955066"/>
      <w:r>
        <w:rPr>
          <w:color w:val="auto"/>
          <w:highlight w:val="none"/>
        </w:rPr>
        <w:t> </w:t>
      </w:r>
    </w:p>
    <w:p w14:paraId="0B887587">
      <w:pPr>
        <w:pStyle w:val="33"/>
        <w:spacing w:beforeAutospacing="0" w:afterAutospacing="0" w:line="360" w:lineRule="auto"/>
        <w:jc w:val="both"/>
        <w:rPr>
          <w:color w:val="auto"/>
          <w:highlight w:val="none"/>
        </w:rPr>
      </w:pPr>
      <w:r>
        <w:rPr>
          <w:color w:val="auto"/>
          <w:highlight w:val="none"/>
        </w:rPr>
        <w:t> </w:t>
      </w:r>
    </w:p>
    <w:p w14:paraId="67F98C0D">
      <w:pPr>
        <w:pStyle w:val="33"/>
        <w:spacing w:beforeAutospacing="0" w:afterAutospacing="0" w:line="360" w:lineRule="auto"/>
        <w:jc w:val="both"/>
        <w:rPr>
          <w:color w:val="auto"/>
          <w:highlight w:val="none"/>
        </w:rPr>
      </w:pPr>
      <w:r>
        <w:rPr>
          <w:color w:val="auto"/>
          <w:highlight w:val="none"/>
        </w:rPr>
        <w:t> </w:t>
      </w:r>
    </w:p>
    <w:p w14:paraId="53061613">
      <w:pPr>
        <w:pStyle w:val="33"/>
        <w:spacing w:beforeAutospacing="0" w:afterAutospacing="0" w:line="360" w:lineRule="auto"/>
        <w:jc w:val="both"/>
        <w:rPr>
          <w:color w:val="auto"/>
          <w:highlight w:val="none"/>
        </w:rPr>
      </w:pPr>
    </w:p>
    <w:p w14:paraId="404B0392">
      <w:pPr>
        <w:pStyle w:val="33"/>
        <w:spacing w:beforeAutospacing="0" w:afterAutospacing="0" w:line="360" w:lineRule="auto"/>
        <w:jc w:val="both"/>
        <w:rPr>
          <w:rFonts w:hint="eastAsia" w:ascii="黑体" w:hAnsi="宋体" w:eastAsia="黑体" w:cs="黑体"/>
          <w:b/>
          <w:i/>
          <w:color w:val="auto"/>
          <w:sz w:val="32"/>
          <w:szCs w:val="32"/>
          <w:highlight w:val="none"/>
          <w:u w:val="single"/>
        </w:rPr>
      </w:pPr>
    </w:p>
    <w:p w14:paraId="5F4DC56B">
      <w:pPr>
        <w:pStyle w:val="33"/>
        <w:spacing w:beforeAutospacing="0" w:afterAutospacing="0" w:line="360" w:lineRule="auto"/>
        <w:jc w:val="both"/>
        <w:rPr>
          <w:rFonts w:hint="eastAsia" w:ascii="黑体" w:hAnsi="宋体" w:eastAsia="黑体" w:cs="黑体"/>
          <w:b/>
          <w:i/>
          <w:color w:val="auto"/>
          <w:sz w:val="32"/>
          <w:szCs w:val="32"/>
          <w:highlight w:val="none"/>
          <w:u w:val="single"/>
        </w:rPr>
      </w:pPr>
    </w:p>
    <w:p w14:paraId="57F81ADA">
      <w:pPr>
        <w:pStyle w:val="33"/>
        <w:spacing w:beforeAutospacing="0" w:afterAutospacing="0" w:line="360" w:lineRule="auto"/>
        <w:jc w:val="both"/>
        <w:rPr>
          <w:rFonts w:hint="eastAsia" w:ascii="黑体" w:hAnsi="宋体" w:eastAsia="黑体" w:cs="黑体"/>
          <w:b/>
          <w:i/>
          <w:color w:val="auto"/>
          <w:sz w:val="32"/>
          <w:szCs w:val="32"/>
          <w:highlight w:val="none"/>
          <w:u w:val="single"/>
        </w:rPr>
      </w:pPr>
    </w:p>
    <w:p w14:paraId="61E4397D">
      <w:pPr>
        <w:pStyle w:val="33"/>
        <w:spacing w:beforeAutospacing="0" w:afterAutospacing="0" w:line="360" w:lineRule="auto"/>
        <w:jc w:val="both"/>
        <w:rPr>
          <w:rFonts w:hint="eastAsia" w:ascii="黑体" w:hAnsi="宋体" w:eastAsia="黑体" w:cs="黑体"/>
          <w:b/>
          <w:i/>
          <w:color w:val="auto"/>
          <w:sz w:val="32"/>
          <w:szCs w:val="32"/>
          <w:highlight w:val="none"/>
          <w:u w:val="single"/>
        </w:rPr>
      </w:pPr>
    </w:p>
    <w:p w14:paraId="7A7870DF">
      <w:pPr>
        <w:pStyle w:val="33"/>
        <w:spacing w:beforeAutospacing="0" w:afterAutospacing="0" w:line="360" w:lineRule="auto"/>
        <w:jc w:val="both"/>
        <w:rPr>
          <w:rFonts w:hint="eastAsia" w:ascii="黑体" w:hAnsi="宋体" w:eastAsia="黑体" w:cs="黑体"/>
          <w:b/>
          <w:i/>
          <w:color w:val="auto"/>
          <w:sz w:val="32"/>
          <w:szCs w:val="32"/>
          <w:highlight w:val="none"/>
          <w:u w:val="single"/>
        </w:rPr>
      </w:pPr>
    </w:p>
    <w:p w14:paraId="0D5A74B9">
      <w:pPr>
        <w:pStyle w:val="33"/>
        <w:spacing w:beforeAutospacing="0" w:afterAutospacing="0" w:line="360" w:lineRule="auto"/>
        <w:jc w:val="both"/>
        <w:rPr>
          <w:rFonts w:hint="eastAsia" w:ascii="黑体" w:hAnsi="宋体" w:eastAsia="黑体" w:cs="黑体"/>
          <w:b/>
          <w:i/>
          <w:color w:val="auto"/>
          <w:sz w:val="32"/>
          <w:szCs w:val="32"/>
          <w:highlight w:val="none"/>
          <w:u w:val="single"/>
        </w:rPr>
      </w:pPr>
    </w:p>
    <w:p w14:paraId="7F34E081">
      <w:pPr>
        <w:pStyle w:val="33"/>
        <w:spacing w:beforeAutospacing="0" w:afterAutospacing="0" w:line="360" w:lineRule="auto"/>
        <w:jc w:val="both"/>
        <w:rPr>
          <w:rFonts w:hint="eastAsia" w:ascii="黑体" w:hAnsi="宋体" w:eastAsia="黑体" w:cs="黑体"/>
          <w:b/>
          <w:i/>
          <w:color w:val="auto"/>
          <w:sz w:val="32"/>
          <w:szCs w:val="32"/>
          <w:highlight w:val="none"/>
          <w:u w:val="single"/>
        </w:rPr>
      </w:pPr>
    </w:p>
    <w:p w14:paraId="64AF0E7A">
      <w:pPr>
        <w:pStyle w:val="33"/>
        <w:spacing w:beforeAutospacing="0" w:afterAutospacing="0" w:line="360" w:lineRule="auto"/>
        <w:jc w:val="both"/>
        <w:rPr>
          <w:color w:val="auto"/>
          <w:highlight w:val="none"/>
        </w:rPr>
      </w:pPr>
      <w:r>
        <w:rPr>
          <w:rFonts w:hint="eastAsia" w:ascii="黑体" w:hAnsi="宋体" w:eastAsia="黑体" w:cs="黑体"/>
          <w:b/>
          <w:i/>
          <w:color w:val="auto"/>
          <w:sz w:val="32"/>
          <w:szCs w:val="32"/>
          <w:highlight w:val="none"/>
          <w:u w:val="single"/>
        </w:rPr>
        <w:t>十四、开标一览表</w:t>
      </w:r>
    </w:p>
    <w:p w14:paraId="1B90A5A3">
      <w:pPr>
        <w:pStyle w:val="33"/>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投标人全称（加盖CA电子签章）：</w:t>
      </w:r>
    </w:p>
    <w:p w14:paraId="6E396311">
      <w:pPr>
        <w:pStyle w:val="33"/>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项目名称：</w:t>
      </w:r>
    </w:p>
    <w:p w14:paraId="50040736">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项目编号：</w:t>
      </w:r>
    </w:p>
    <w:p w14:paraId="1234341C">
      <w:pPr>
        <w:pStyle w:val="33"/>
        <w:spacing w:beforeAutospacing="0" w:afterAutospacing="0" w:line="360" w:lineRule="auto"/>
        <w:ind w:firstLine="480"/>
        <w:jc w:val="both"/>
        <w:rPr>
          <w:color w:val="auto"/>
          <w:highlight w:val="none"/>
        </w:rPr>
      </w:pPr>
      <w:r>
        <w:rPr>
          <w:rFonts w:hint="eastAsia" w:ascii="宋体" w:hAnsi="宋体" w:eastAsia="宋体" w:cs="宋体"/>
          <w:color w:val="auto"/>
          <w:highlight w:val="none"/>
        </w:rPr>
        <w:t>分包号：</w:t>
      </w:r>
    </w:p>
    <w:tbl>
      <w:tblPr>
        <w:tblStyle w:val="38"/>
        <w:tblW w:w="8206" w:type="dxa"/>
        <w:tblCellSpacing w:w="0" w:type="dxa"/>
        <w:tblInd w:w="118" w:type="dxa"/>
        <w:tblLayout w:type="fixed"/>
        <w:tblCellMar>
          <w:top w:w="0" w:type="dxa"/>
          <w:left w:w="108" w:type="dxa"/>
          <w:bottom w:w="0" w:type="dxa"/>
          <w:right w:w="108" w:type="dxa"/>
        </w:tblCellMar>
      </w:tblPr>
      <w:tblGrid>
        <w:gridCol w:w="8206"/>
      </w:tblGrid>
      <w:tr w14:paraId="77FF312E">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356DFEF0">
            <w:pPr>
              <w:pStyle w:val="33"/>
              <w:spacing w:beforeAutospacing="0" w:afterAutospacing="0" w:line="360" w:lineRule="auto"/>
              <w:jc w:val="center"/>
              <w:rPr>
                <w:color w:val="auto"/>
                <w:highlight w:val="none"/>
              </w:rPr>
            </w:pPr>
            <w:r>
              <w:rPr>
                <w:rFonts w:hint="eastAsia" w:ascii="宋体" w:hAnsi="宋体" w:eastAsia="宋体" w:cs="宋体"/>
                <w:color w:val="auto"/>
                <w:highlight w:val="none"/>
              </w:rPr>
              <w:t>投标总报价</w:t>
            </w:r>
          </w:p>
        </w:tc>
      </w:tr>
      <w:tr w14:paraId="7B72605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546ABFD4">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大写：</w:t>
            </w:r>
          </w:p>
        </w:tc>
      </w:tr>
      <w:tr w14:paraId="32DBEC3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1058F4A8">
            <w:pPr>
              <w:pStyle w:val="33"/>
              <w:spacing w:beforeAutospacing="0" w:afterAutospacing="0" w:line="360" w:lineRule="auto"/>
              <w:rPr>
                <w:color w:val="auto"/>
                <w:highlight w:val="none"/>
              </w:rPr>
            </w:pPr>
            <w:r>
              <w:rPr>
                <w:rFonts w:hint="eastAsia" w:ascii="宋体" w:hAnsi="宋体" w:eastAsia="宋体" w:cs="宋体"/>
                <w:color w:val="auto"/>
                <w:highlight w:val="none"/>
              </w:rPr>
              <w:t>小写：                      （人民币：元）</w:t>
            </w:r>
          </w:p>
        </w:tc>
      </w:tr>
    </w:tbl>
    <w:p w14:paraId="0F340739">
      <w:pPr>
        <w:pStyle w:val="33"/>
        <w:spacing w:beforeAutospacing="0" w:afterAutospacing="0" w:line="360" w:lineRule="auto"/>
        <w:jc w:val="both"/>
        <w:rPr>
          <w:color w:val="auto"/>
          <w:highlight w:val="none"/>
        </w:rPr>
      </w:pPr>
      <w:r>
        <w:rPr>
          <w:color w:val="auto"/>
          <w:highlight w:val="none"/>
        </w:rPr>
        <w:t> </w:t>
      </w:r>
    </w:p>
    <w:p w14:paraId="62C85B4E">
      <w:pPr>
        <w:pStyle w:val="33"/>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B86E055">
      <w:pPr>
        <w:widowControl/>
        <w:spacing w:before="50" w:after="50" w:line="360" w:lineRule="auto"/>
        <w:jc w:val="center"/>
        <w:rPr>
          <w:color w:val="auto"/>
          <w:highlight w:val="none"/>
        </w:rPr>
      </w:pPr>
      <w:r>
        <w:rPr>
          <w:color w:val="auto"/>
          <w:highlight w:val="none"/>
        </w:rPr>
        <w:tab/>
      </w:r>
    </w:p>
    <w:p w14:paraId="7C99B283">
      <w:pPr>
        <w:widowControl/>
        <w:spacing w:before="50" w:after="50" w:line="360" w:lineRule="auto"/>
        <w:rPr>
          <w:color w:val="auto"/>
          <w:highlight w:val="none"/>
        </w:rPr>
      </w:pPr>
    </w:p>
    <w:p w14:paraId="245D1CF9">
      <w:pPr>
        <w:spacing w:line="360" w:lineRule="auto"/>
        <w:rPr>
          <w:rFonts w:hint="eastAsia" w:ascii="宋体" w:hAnsi="宋体" w:eastAsia="宋体" w:cs="宋体"/>
          <w:b/>
          <w:bCs/>
          <w:color w:val="auto"/>
          <w:sz w:val="32"/>
          <w:szCs w:val="32"/>
          <w:highlight w:val="none"/>
        </w:rPr>
      </w:pPr>
    </w:p>
    <w:p w14:paraId="64C3549E">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p>
    <w:p w14:paraId="00032A26">
      <w:pPr>
        <w:pStyle w:val="33"/>
        <w:spacing w:beforeAutospacing="0" w:afterAutospacing="0" w:line="360" w:lineRule="auto"/>
        <w:jc w:val="cente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十五、根据招标文件“第五章 评标方法与评标标准”的要求需要提供的材料及投标人认为有必要提供的其他材料</w:t>
      </w:r>
    </w:p>
    <w:p w14:paraId="63C002DF">
      <w:pPr>
        <w:pStyle w:val="33"/>
        <w:tabs>
          <w:tab w:val="left" w:pos="2160"/>
        </w:tabs>
        <w:spacing w:beforeAutospacing="0" w:afterAutospacing="0" w:line="360" w:lineRule="auto"/>
        <w:jc w:val="both"/>
        <w:rPr>
          <w:color w:val="auto"/>
          <w:highlight w:val="none"/>
        </w:rPr>
      </w:pPr>
    </w:p>
    <w:p w14:paraId="6315FF13">
      <w:pPr>
        <w:widowControl/>
        <w:spacing w:line="360" w:lineRule="auto"/>
        <w:ind w:firstLine="1600"/>
        <w:rPr>
          <w:rFonts w:hint="eastAsia" w:ascii="宋体" w:hAnsi="宋体" w:eastAsia="宋体" w:cs="宋体"/>
          <w:color w:val="auto"/>
          <w:sz w:val="32"/>
          <w:szCs w:val="32"/>
          <w:highlight w:val="none"/>
        </w:rPr>
      </w:pPr>
    </w:p>
    <w:p w14:paraId="36A1668B">
      <w:pPr>
        <w:widowControl/>
        <w:spacing w:line="360" w:lineRule="auto"/>
        <w:ind w:firstLine="1600"/>
        <w:rPr>
          <w:rFonts w:hint="eastAsia" w:ascii="宋体" w:hAnsi="宋体" w:eastAsia="宋体" w:cs="宋体"/>
          <w:color w:val="auto"/>
          <w:sz w:val="32"/>
          <w:szCs w:val="32"/>
          <w:highlight w:val="none"/>
        </w:rPr>
      </w:pPr>
    </w:p>
    <w:p w14:paraId="459A7774">
      <w:pPr>
        <w:widowControl/>
        <w:spacing w:line="360" w:lineRule="auto"/>
        <w:ind w:firstLine="1600"/>
        <w:rPr>
          <w:rFonts w:hint="eastAsia" w:ascii="宋体" w:hAnsi="宋体" w:eastAsia="宋体" w:cs="宋体"/>
          <w:color w:val="auto"/>
          <w:sz w:val="32"/>
          <w:szCs w:val="32"/>
          <w:highlight w:val="none"/>
        </w:rPr>
      </w:pPr>
    </w:p>
    <w:p w14:paraId="3A68E364">
      <w:pPr>
        <w:widowControl/>
        <w:spacing w:line="360" w:lineRule="auto"/>
        <w:ind w:firstLine="1600"/>
        <w:rPr>
          <w:rFonts w:hint="eastAsia" w:ascii="宋体" w:hAnsi="宋体" w:eastAsia="宋体" w:cs="宋体"/>
          <w:color w:val="auto"/>
          <w:sz w:val="32"/>
          <w:szCs w:val="32"/>
          <w:highlight w:val="none"/>
        </w:rPr>
      </w:pPr>
    </w:p>
    <w:p w14:paraId="0BE2FAE3">
      <w:pPr>
        <w:widowControl/>
        <w:spacing w:line="360" w:lineRule="auto"/>
        <w:ind w:firstLine="1600"/>
        <w:rPr>
          <w:rFonts w:hint="eastAsia" w:ascii="宋体" w:hAnsi="宋体" w:eastAsia="宋体" w:cs="宋体"/>
          <w:color w:val="auto"/>
          <w:sz w:val="32"/>
          <w:szCs w:val="32"/>
          <w:highlight w:val="none"/>
        </w:rPr>
      </w:pPr>
    </w:p>
    <w:p w14:paraId="14EDEED0">
      <w:pPr>
        <w:widowControl/>
        <w:spacing w:line="360" w:lineRule="auto"/>
        <w:ind w:firstLine="1600"/>
        <w:rPr>
          <w:rFonts w:hint="eastAsia" w:ascii="宋体" w:hAnsi="宋体" w:eastAsia="宋体" w:cs="宋体"/>
          <w:color w:val="auto"/>
          <w:sz w:val="32"/>
          <w:szCs w:val="32"/>
          <w:highlight w:val="none"/>
        </w:rPr>
      </w:pPr>
    </w:p>
    <w:p w14:paraId="159628D9">
      <w:pPr>
        <w:widowControl/>
        <w:spacing w:line="360" w:lineRule="auto"/>
        <w:ind w:firstLine="1600"/>
        <w:rPr>
          <w:rFonts w:hint="eastAsia" w:ascii="宋体" w:hAnsi="宋体" w:eastAsia="宋体" w:cs="宋体"/>
          <w:color w:val="auto"/>
          <w:sz w:val="32"/>
          <w:szCs w:val="32"/>
          <w:highlight w:val="none"/>
        </w:rPr>
      </w:pPr>
    </w:p>
    <w:p w14:paraId="7B4F687B">
      <w:pPr>
        <w:widowControl/>
        <w:spacing w:line="360" w:lineRule="auto"/>
        <w:ind w:firstLine="1600"/>
        <w:rPr>
          <w:rFonts w:hint="eastAsia" w:ascii="宋体" w:hAnsi="宋体" w:eastAsia="宋体" w:cs="宋体"/>
          <w:color w:val="auto"/>
          <w:sz w:val="32"/>
          <w:szCs w:val="32"/>
          <w:highlight w:val="none"/>
        </w:rPr>
      </w:pPr>
    </w:p>
    <w:p w14:paraId="6CDEF4B4">
      <w:pPr>
        <w:widowControl/>
        <w:spacing w:line="360" w:lineRule="auto"/>
        <w:ind w:firstLine="1600"/>
        <w:rPr>
          <w:rFonts w:hint="eastAsia" w:ascii="宋体" w:hAnsi="宋体" w:eastAsia="宋体" w:cs="宋体"/>
          <w:color w:val="auto"/>
          <w:sz w:val="32"/>
          <w:szCs w:val="32"/>
          <w:highlight w:val="none"/>
        </w:rPr>
      </w:pPr>
    </w:p>
    <w:p w14:paraId="3C5B34A5">
      <w:pPr>
        <w:widowControl/>
        <w:spacing w:line="360" w:lineRule="auto"/>
        <w:ind w:firstLine="1600"/>
        <w:rPr>
          <w:rFonts w:hint="eastAsia" w:ascii="宋体" w:hAnsi="宋体" w:eastAsia="宋体" w:cs="宋体"/>
          <w:color w:val="auto"/>
          <w:sz w:val="32"/>
          <w:szCs w:val="32"/>
          <w:highlight w:val="none"/>
        </w:rPr>
      </w:pPr>
    </w:p>
    <w:p w14:paraId="605E8717">
      <w:pPr>
        <w:widowControl/>
        <w:spacing w:line="360" w:lineRule="auto"/>
        <w:ind w:firstLine="1600"/>
        <w:rPr>
          <w:rFonts w:hint="eastAsia" w:ascii="宋体" w:hAnsi="宋体" w:eastAsia="宋体" w:cs="宋体"/>
          <w:color w:val="auto"/>
          <w:sz w:val="32"/>
          <w:szCs w:val="32"/>
          <w:highlight w:val="none"/>
        </w:rPr>
      </w:pPr>
    </w:p>
    <w:p w14:paraId="170BA286">
      <w:pPr>
        <w:widowControl/>
        <w:spacing w:line="360" w:lineRule="auto"/>
        <w:ind w:firstLine="1600"/>
        <w:rPr>
          <w:rFonts w:hint="eastAsia" w:ascii="宋体" w:hAnsi="宋体" w:eastAsia="宋体" w:cs="宋体"/>
          <w:color w:val="auto"/>
          <w:sz w:val="32"/>
          <w:szCs w:val="32"/>
          <w:highlight w:val="none"/>
        </w:rPr>
      </w:pPr>
    </w:p>
    <w:p w14:paraId="53A75805">
      <w:pPr>
        <w:widowControl/>
        <w:spacing w:line="360" w:lineRule="auto"/>
        <w:ind w:firstLine="1600"/>
        <w:rPr>
          <w:rFonts w:hint="eastAsia" w:ascii="宋体" w:hAnsi="宋体" w:eastAsia="宋体" w:cs="宋体"/>
          <w:color w:val="auto"/>
          <w:sz w:val="32"/>
          <w:szCs w:val="32"/>
          <w:highlight w:val="none"/>
        </w:rPr>
      </w:pPr>
    </w:p>
    <w:p w14:paraId="5639CE1B">
      <w:pPr>
        <w:widowControl/>
        <w:spacing w:line="360" w:lineRule="auto"/>
        <w:ind w:firstLine="1600"/>
        <w:rPr>
          <w:rFonts w:hint="eastAsia" w:ascii="宋体" w:hAnsi="宋体" w:eastAsia="宋体" w:cs="宋体"/>
          <w:color w:val="auto"/>
          <w:sz w:val="32"/>
          <w:szCs w:val="32"/>
          <w:highlight w:val="none"/>
        </w:rPr>
      </w:pPr>
    </w:p>
    <w:p w14:paraId="513F36EB">
      <w:pPr>
        <w:widowControl/>
        <w:spacing w:line="360" w:lineRule="auto"/>
        <w:ind w:firstLine="1600"/>
        <w:rPr>
          <w:rFonts w:hint="eastAsia" w:ascii="宋体" w:hAnsi="宋体" w:eastAsia="宋体" w:cs="宋体"/>
          <w:color w:val="auto"/>
          <w:sz w:val="32"/>
          <w:szCs w:val="32"/>
          <w:highlight w:val="none"/>
        </w:rPr>
      </w:pPr>
    </w:p>
    <w:p w14:paraId="72367160">
      <w:pPr>
        <w:widowControl/>
        <w:spacing w:line="360" w:lineRule="auto"/>
        <w:ind w:firstLine="1600"/>
        <w:rPr>
          <w:rFonts w:hint="eastAsia" w:ascii="宋体" w:hAnsi="宋体" w:eastAsia="宋体" w:cs="宋体"/>
          <w:color w:val="auto"/>
          <w:sz w:val="32"/>
          <w:szCs w:val="32"/>
          <w:highlight w:val="none"/>
        </w:rPr>
      </w:pPr>
    </w:p>
    <w:p w14:paraId="7E904361">
      <w:pPr>
        <w:widowControl/>
        <w:spacing w:line="360" w:lineRule="auto"/>
        <w:ind w:firstLine="1600"/>
        <w:rPr>
          <w:rFonts w:hint="eastAsia" w:ascii="宋体" w:hAnsi="宋体" w:eastAsia="宋体" w:cs="宋体"/>
          <w:color w:val="auto"/>
          <w:sz w:val="32"/>
          <w:szCs w:val="32"/>
          <w:highlight w:val="none"/>
        </w:rPr>
      </w:pPr>
    </w:p>
    <w:p w14:paraId="244A7651">
      <w:pPr>
        <w:widowControl/>
        <w:spacing w:line="360" w:lineRule="auto"/>
        <w:rPr>
          <w:rFonts w:hint="eastAsia" w:ascii="宋体" w:hAnsi="宋体" w:eastAsia="宋体" w:cs="宋体"/>
          <w:color w:val="auto"/>
          <w:sz w:val="32"/>
          <w:szCs w:val="32"/>
          <w:highlight w:val="none"/>
        </w:rPr>
      </w:pPr>
    </w:p>
    <w:p w14:paraId="6F81C0B8">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p>
    <w:p w14:paraId="1565356E">
      <w:pPr>
        <w:pStyle w:val="33"/>
        <w:spacing w:beforeAutospacing="0" w:afterAutospacing="0" w:line="360" w:lineRule="auto"/>
        <w:jc w:val="cente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十六、盐城市大丰区政府招标采购供应商承诺书</w:t>
      </w:r>
    </w:p>
    <w:p w14:paraId="7A86DCD4">
      <w:pPr>
        <w:widowControl/>
        <w:spacing w:line="360" w:lineRule="auto"/>
        <w:ind w:firstLine="640"/>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w:t>
      </w:r>
      <w:bookmarkEnd w:id="33"/>
      <w:bookmarkEnd w:id="51"/>
      <w:bookmarkEnd w:id="96"/>
      <w:bookmarkEnd w:id="97"/>
      <w:bookmarkEnd w:id="98"/>
      <w:bookmarkEnd w:id="101"/>
      <w:bookmarkEnd w:id="102"/>
      <w:bookmarkEnd w:id="103"/>
      <w:bookmarkEnd w:id="104"/>
      <w:bookmarkEnd w:id="105"/>
      <w:bookmarkEnd w:id="106"/>
      <w:bookmarkEnd w:id="107"/>
      <w:bookmarkEnd w:id="108"/>
      <w:bookmarkEnd w:id="109"/>
      <w:bookmarkEnd w:id="110"/>
      <w:bookmarkEnd w:id="111"/>
      <w:bookmarkEnd w:id="112"/>
      <w:bookmarkEnd w:id="113"/>
      <w:bookmarkEnd w:id="118"/>
      <w:bookmarkEnd w:id="119"/>
      <w:bookmarkEnd w:id="120"/>
      <w:bookmarkEnd w:id="125"/>
      <w:bookmarkEnd w:id="126"/>
      <w:bookmarkEnd w:id="133"/>
      <w:bookmarkEnd w:id="180"/>
      <w:bookmarkEnd w:id="187"/>
      <w:bookmarkEnd w:id="192"/>
      <w:bookmarkEnd w:id="193"/>
      <w:bookmarkEnd w:id="195"/>
      <w:bookmarkEnd w:id="196"/>
      <w:bookmarkEnd w:id="197"/>
      <w:bookmarkEnd w:id="198"/>
      <w:bookmarkEnd w:id="207"/>
      <w:bookmarkEnd w:id="208"/>
      <w:bookmarkEnd w:id="209"/>
      <w:bookmarkEnd w:id="210"/>
      <w:bookmarkEnd w:id="211"/>
    </w:p>
    <w:p w14:paraId="3E8A5C5E">
      <w:pPr>
        <w:spacing w:line="360" w:lineRule="auto"/>
        <w:ind w:firstLine="480"/>
        <w:rPr>
          <w:rFonts w:hint="eastAsia" w:cs="仿宋_GB2312" w:asciiTheme="minorEastAsia" w:hAnsiTheme="minorEastAsia"/>
          <w:color w:val="auto"/>
          <w:sz w:val="24"/>
          <w:highlight w:val="none"/>
          <w:u w:val="single"/>
        </w:rPr>
      </w:pPr>
      <w:r>
        <w:rPr>
          <w:rFonts w:hint="eastAsia" w:cs="仿宋_GB2312" w:asciiTheme="minorEastAsia" w:hAnsiTheme="minorEastAsia"/>
          <w:color w:val="auto"/>
          <w:sz w:val="24"/>
          <w:highlight w:val="none"/>
        </w:rPr>
        <w:t>为营造公开、公平、公正、诚实守信的政府招标采购交易环境，树立诚信守法的投标人形象，本单位参加政府招标采购项目：</w:t>
      </w:r>
      <w:r>
        <w:rPr>
          <w:rFonts w:hint="eastAsia" w:cs="仿宋_GB2312" w:asciiTheme="minorEastAsia" w:hAnsiTheme="minorEastAsia"/>
          <w:color w:val="auto"/>
          <w:sz w:val="24"/>
          <w:highlight w:val="none"/>
          <w:u w:val="single"/>
        </w:rPr>
        <w:t xml:space="preserve">                 </w:t>
      </w:r>
      <w:r>
        <w:rPr>
          <w:rFonts w:hint="eastAsia" w:cs="仿宋_GB2312" w:asciiTheme="minorEastAsia" w:hAnsiTheme="minorEastAsia"/>
          <w:color w:val="auto"/>
          <w:sz w:val="24"/>
          <w:highlight w:val="none"/>
        </w:rPr>
        <w:t>的招标采购活动，本人代表本单位作出以下承诺：</w:t>
      </w:r>
    </w:p>
    <w:p w14:paraId="5E3867E8">
      <w:pPr>
        <w:spacing w:line="360" w:lineRule="auto"/>
        <w:ind w:firstLine="367"/>
        <w:rPr>
          <w:rFonts w:hint="eastAsia" w:cs="仿宋_GB2312" w:asciiTheme="minorEastAsia" w:hAnsiTheme="minorEastAsia"/>
          <w:color w:val="auto"/>
          <w:sz w:val="24"/>
          <w:highlight w:val="none"/>
        </w:rPr>
      </w:pPr>
      <w:r>
        <w:rPr>
          <w:rFonts w:hint="eastAsia" w:cs="仿宋_GB2312" w:asciiTheme="minorEastAsia" w:hAnsiTheme="minorEastAsia"/>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6D7DFF4">
      <w:pPr>
        <w:spacing w:line="360" w:lineRule="auto"/>
        <w:ind w:firstLine="367"/>
        <w:rPr>
          <w:rFonts w:hint="eastAsia" w:cs="仿宋_GB2312" w:asciiTheme="minorEastAsia" w:hAnsiTheme="minorEastAsia"/>
          <w:color w:val="auto"/>
          <w:sz w:val="24"/>
          <w:highlight w:val="none"/>
        </w:rPr>
      </w:pPr>
      <w:r>
        <w:rPr>
          <w:rFonts w:hint="eastAsia" w:cs="仿宋_GB2312" w:asciiTheme="minorEastAsia" w:hAnsiTheme="min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C396A5A">
      <w:pPr>
        <w:spacing w:line="360" w:lineRule="auto"/>
        <w:ind w:firstLine="367"/>
        <w:rPr>
          <w:rFonts w:hint="eastAsia" w:cs="仿宋_GB2312" w:asciiTheme="minorEastAsia" w:hAnsiTheme="minorEastAsia"/>
          <w:color w:val="auto"/>
          <w:sz w:val="24"/>
          <w:highlight w:val="none"/>
        </w:rPr>
      </w:pPr>
      <w:r>
        <w:rPr>
          <w:rFonts w:hint="eastAsia" w:cs="仿宋_GB2312" w:asciiTheme="minorEastAsia" w:hAnsiTheme="minorEastAsia"/>
          <w:color w:val="auto"/>
          <w:sz w:val="24"/>
          <w:highlight w:val="none"/>
        </w:rPr>
        <w:t xml:space="preserve">（三）严格依照国家和省、市关于政府采购的法律、法规、规章、规范性文件，参加政府采购投标活动；积极履行社会责任，促进廉政建设； </w:t>
      </w:r>
    </w:p>
    <w:p w14:paraId="773EA67A">
      <w:pPr>
        <w:spacing w:line="360" w:lineRule="auto"/>
        <w:ind w:firstLine="367"/>
        <w:rPr>
          <w:rFonts w:hint="eastAsia" w:cs="仿宋_GB2312" w:asciiTheme="minorEastAsia" w:hAnsiTheme="minorEastAsia"/>
          <w:color w:val="auto"/>
          <w:sz w:val="24"/>
          <w:highlight w:val="none"/>
        </w:rPr>
      </w:pPr>
      <w:r>
        <w:rPr>
          <w:rFonts w:hint="eastAsia" w:cs="仿宋_GB2312" w:asciiTheme="minorEastAsia" w:hAnsiTheme="minorEastAsia"/>
          <w:color w:val="auto"/>
          <w:sz w:val="24"/>
          <w:highlight w:val="none"/>
        </w:rPr>
        <w:t>（四）严格遵守即时信息公示规定，及时维护和更新维护和更新盐城市政府采购网中与本单位相关的信息；</w:t>
      </w:r>
    </w:p>
    <w:p w14:paraId="3E945718">
      <w:pPr>
        <w:spacing w:line="360" w:lineRule="auto"/>
        <w:ind w:firstLine="367"/>
        <w:rPr>
          <w:rFonts w:hint="eastAsia" w:cs="仿宋_GB2312" w:asciiTheme="minorEastAsia" w:hAnsiTheme="minorEastAsia"/>
          <w:color w:val="auto"/>
          <w:sz w:val="24"/>
          <w:highlight w:val="none"/>
        </w:rPr>
      </w:pPr>
      <w:r>
        <w:rPr>
          <w:rFonts w:hint="eastAsia" w:cs="仿宋_GB2312" w:asciiTheme="minorEastAsia" w:hAnsiTheme="minorEastAsia"/>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7E1BF16A">
      <w:pPr>
        <w:spacing w:line="360" w:lineRule="auto"/>
        <w:ind w:firstLine="367"/>
        <w:rPr>
          <w:rFonts w:hint="eastAsia" w:cs="仿宋_GB2312" w:asciiTheme="minorEastAsia" w:hAnsiTheme="minorEastAsia"/>
          <w:color w:val="auto"/>
          <w:sz w:val="24"/>
          <w:highlight w:val="none"/>
        </w:rPr>
      </w:pPr>
      <w:r>
        <w:rPr>
          <w:rFonts w:hint="eastAsia" w:cs="仿宋_GB2312" w:asciiTheme="minorEastAsia" w:hAnsiTheme="minorEastAsia"/>
          <w:color w:val="auto"/>
          <w:sz w:val="24"/>
          <w:highlight w:val="none"/>
        </w:rPr>
        <w:t>（六）自觉接受政府、行业组织、社会公众、新闻舆论的监督；</w:t>
      </w:r>
    </w:p>
    <w:p w14:paraId="291E7CA0">
      <w:pPr>
        <w:spacing w:line="360" w:lineRule="auto"/>
        <w:ind w:firstLine="367"/>
        <w:rPr>
          <w:rFonts w:hint="eastAsia" w:cs="仿宋_GB2312" w:asciiTheme="minorEastAsia" w:hAnsiTheme="minorEastAsia"/>
          <w:color w:val="auto"/>
          <w:sz w:val="24"/>
          <w:highlight w:val="none"/>
        </w:rPr>
      </w:pPr>
      <w:r>
        <w:rPr>
          <w:rFonts w:hint="eastAsia" w:cs="仿宋_GB2312" w:asciiTheme="minorEastAsia" w:hAnsiTheme="min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4013BD3">
      <w:pPr>
        <w:spacing w:line="360" w:lineRule="auto"/>
        <w:ind w:firstLine="367"/>
        <w:rPr>
          <w:rFonts w:hint="eastAsia" w:cs="仿宋_GB2312" w:asciiTheme="minorEastAsia" w:hAnsiTheme="minorEastAsia"/>
          <w:color w:val="auto"/>
          <w:sz w:val="24"/>
          <w:highlight w:val="none"/>
        </w:rPr>
      </w:pPr>
      <w:r>
        <w:rPr>
          <w:rFonts w:hint="eastAsia" w:cs="仿宋_GB2312" w:asciiTheme="minorEastAsia" w:hAnsiTheme="minorEastAsia"/>
          <w:color w:val="auto"/>
          <w:sz w:val="24"/>
          <w:highlight w:val="none"/>
        </w:rPr>
        <w:t>（八）本人已认真阅读了上述承诺，并向本单位员工作了宣传教育。</w:t>
      </w:r>
    </w:p>
    <w:p w14:paraId="4D95B2EF">
      <w:pPr>
        <w:spacing w:line="360" w:lineRule="auto"/>
        <w:ind w:firstLine="480"/>
        <w:rPr>
          <w:rFonts w:hint="eastAsia" w:cs="仿宋_GB2312" w:asciiTheme="minorEastAsia" w:hAnsiTheme="minorEastAsia"/>
          <w:color w:val="auto"/>
          <w:sz w:val="24"/>
          <w:highlight w:val="none"/>
        </w:rPr>
      </w:pPr>
    </w:p>
    <w:p w14:paraId="029970F6">
      <w:pPr>
        <w:spacing w:line="360" w:lineRule="auto"/>
        <w:ind w:firstLine="480"/>
        <w:rPr>
          <w:rFonts w:hint="eastAsia" w:cs="仿宋_GB2312" w:asciiTheme="minorEastAsia" w:hAnsiTheme="minorEastAsia"/>
          <w:color w:val="auto"/>
          <w:sz w:val="24"/>
          <w:highlight w:val="none"/>
        </w:rPr>
      </w:pPr>
      <w:r>
        <w:rPr>
          <w:rFonts w:hint="eastAsia" w:cs="仿宋_GB2312" w:asciiTheme="minorEastAsia" w:hAnsiTheme="minorEastAsia"/>
          <w:color w:val="auto"/>
          <w:sz w:val="24"/>
          <w:highlight w:val="none"/>
        </w:rPr>
        <w:t>法定代表人签名：                             单位名称（盖章）：</w:t>
      </w:r>
    </w:p>
    <w:p w14:paraId="65DDBF6E">
      <w:pPr>
        <w:spacing w:line="360" w:lineRule="auto"/>
        <w:rPr>
          <w:rFonts w:hint="eastAsia" w:cs="仿宋_GB2312" w:asciiTheme="minorEastAsia" w:hAnsiTheme="minorEastAsia"/>
          <w:color w:val="auto"/>
          <w:sz w:val="24"/>
          <w:highlight w:val="none"/>
        </w:rPr>
      </w:pPr>
    </w:p>
    <w:p w14:paraId="3340E4E0">
      <w:pPr>
        <w:widowControl/>
        <w:spacing w:line="360" w:lineRule="auto"/>
        <w:jc w:val="center"/>
        <w:rPr>
          <w:rFonts w:hint="eastAsia" w:cs="仿宋" w:asciiTheme="minorEastAsia" w:hAnsiTheme="minorEastAsia"/>
          <w:color w:val="auto"/>
          <w:highlight w:val="none"/>
        </w:rPr>
      </w:pPr>
      <w:r>
        <w:rPr>
          <w:rFonts w:hint="eastAsia" w:cs="仿宋_GB2312" w:asciiTheme="minorEastAsia" w:hAnsiTheme="minorEastAsia"/>
          <w:color w:val="auto"/>
          <w:sz w:val="24"/>
          <w:highlight w:val="none"/>
        </w:rPr>
        <w:t xml:space="preserve">                                   年    月   日</w:t>
      </w:r>
    </w:p>
    <w:p w14:paraId="0EEBFE3B">
      <w:pPr>
        <w:pStyle w:val="33"/>
        <w:spacing w:beforeAutospacing="0" w:afterAutospacing="0" w:line="360" w:lineRule="auto"/>
        <w:jc w:val="center"/>
        <w:rPr>
          <w:rFonts w:hint="eastAsia" w:asciiTheme="minorEastAsia" w:hAnsiTheme="minorEastAsia"/>
          <w:color w:val="auto"/>
          <w:highlight w:val="none"/>
        </w:rPr>
      </w:pPr>
    </w:p>
    <w:p w14:paraId="021FDA28">
      <w:pPr>
        <w:spacing w:line="360" w:lineRule="auto"/>
        <w:rPr>
          <w:color w:val="auto"/>
          <w:highlight w:val="none"/>
        </w:rPr>
      </w:pPr>
    </w:p>
    <w:p w14:paraId="60526E7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49A5EE3A">
      <w:pPr>
        <w:pStyle w:val="33"/>
        <w:spacing w:beforeAutospacing="0" w:afterAutospacing="0"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46773FC1">
      <w:pPr>
        <w:pStyle w:val="33"/>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111F343F">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601D6DD">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5001410B">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34D2E78">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2922379">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2416F9F">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8A601CF">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4189A9F">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91F167C">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37B16758">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3DDA19E9">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3EBEF04F">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1166372">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1ED4993">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52FE69C9">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58E25918">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05F3568F">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0149F4C4">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313ED1A9">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0695B46E">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407F1B93">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019FFD22">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5F1715D7">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678E1EFE">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0C6971AB">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1FBAC957">
      <w:pPr>
        <w:pStyle w:val="33"/>
        <w:widowControl/>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D79ED21">
      <w:pPr>
        <w:pStyle w:val="33"/>
        <w:widowControl/>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838A73A">
      <w:pPr>
        <w:pStyle w:val="33"/>
        <w:widowControl/>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502F10FA">
      <w:pPr>
        <w:pStyle w:val="33"/>
        <w:widowControl/>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5612408E">
      <w:pPr>
        <w:pStyle w:val="33"/>
        <w:widowControl/>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17EC9CE3">
      <w:pPr>
        <w:pStyle w:val="33"/>
        <w:widowControl/>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12AA98E0">
      <w:pPr>
        <w:pStyle w:val="33"/>
        <w:spacing w:beforeAutospacing="0" w:afterAutospacing="0"/>
        <w:ind w:firstLine="4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4502C10">
      <w:pPr>
        <w:rPr>
          <w:color w:val="auto"/>
          <w:highlight w:val="none"/>
        </w:rPr>
      </w:pPr>
    </w:p>
    <w:sectPr>
      <w:footerReference r:id="rId3" w:type="default"/>
      <w:pgSz w:w="11906" w:h="16838"/>
      <w:pgMar w:top="1134" w:right="1134" w:bottom="1134" w:left="1134"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474"/>
    </w:sdtPr>
    <w:sdtContent>
      <w:p w14:paraId="068512CC">
        <w:pPr>
          <w:pStyle w:val="23"/>
          <w:jc w:val="center"/>
        </w:pPr>
        <w:r>
          <w:fldChar w:fldCharType="begin"/>
        </w:r>
        <w:r>
          <w:instrText xml:space="preserve">PAGE   \* MERGEFORMAT</w:instrText>
        </w:r>
        <w:r>
          <w:fldChar w:fldCharType="separate"/>
        </w:r>
        <w:r>
          <w:rPr>
            <w:lang w:val="zh-CN"/>
          </w:rPr>
          <w:t>2</w:t>
        </w:r>
        <w:r>
          <w:fldChar w:fldCharType="end"/>
        </w:r>
      </w:p>
    </w:sdtContent>
  </w:sdt>
  <w:p w14:paraId="3D96B2DB">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EnclosedParen"/>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0053208E"/>
    <w:multiLevelType w:val="multilevel"/>
    <w:tmpl w:val="0053208E"/>
    <w:lvl w:ilvl="0" w:tentative="0">
      <w:start w:val="3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06B1"/>
    <w:rsid w:val="00844285"/>
    <w:rsid w:val="01863B5B"/>
    <w:rsid w:val="03065425"/>
    <w:rsid w:val="031900B1"/>
    <w:rsid w:val="04243DB5"/>
    <w:rsid w:val="048765FD"/>
    <w:rsid w:val="05293837"/>
    <w:rsid w:val="05B323E0"/>
    <w:rsid w:val="0A4E2002"/>
    <w:rsid w:val="0A4E4195"/>
    <w:rsid w:val="0D925E87"/>
    <w:rsid w:val="101B6E73"/>
    <w:rsid w:val="10835914"/>
    <w:rsid w:val="122D02D9"/>
    <w:rsid w:val="12340EC2"/>
    <w:rsid w:val="12FC5EFD"/>
    <w:rsid w:val="14D47D7E"/>
    <w:rsid w:val="15281078"/>
    <w:rsid w:val="163E0EFF"/>
    <w:rsid w:val="17142B93"/>
    <w:rsid w:val="1772317E"/>
    <w:rsid w:val="17EC500A"/>
    <w:rsid w:val="17EE4066"/>
    <w:rsid w:val="1B882F70"/>
    <w:rsid w:val="1C1157B4"/>
    <w:rsid w:val="1CE309F0"/>
    <w:rsid w:val="1FDB5753"/>
    <w:rsid w:val="21980399"/>
    <w:rsid w:val="222122BA"/>
    <w:rsid w:val="22CA5F30"/>
    <w:rsid w:val="22F14E9B"/>
    <w:rsid w:val="25AE3087"/>
    <w:rsid w:val="26157B20"/>
    <w:rsid w:val="269355A0"/>
    <w:rsid w:val="26BD09AA"/>
    <w:rsid w:val="28201F93"/>
    <w:rsid w:val="2A7D01C3"/>
    <w:rsid w:val="2B2F4CC2"/>
    <w:rsid w:val="2B7E5839"/>
    <w:rsid w:val="2C465D44"/>
    <w:rsid w:val="2C830311"/>
    <w:rsid w:val="2CDA0C05"/>
    <w:rsid w:val="2D621327"/>
    <w:rsid w:val="315F7EF1"/>
    <w:rsid w:val="357F1968"/>
    <w:rsid w:val="36131B57"/>
    <w:rsid w:val="36987B67"/>
    <w:rsid w:val="38B90269"/>
    <w:rsid w:val="3913458B"/>
    <w:rsid w:val="39804910"/>
    <w:rsid w:val="3A4758EF"/>
    <w:rsid w:val="3DB139C8"/>
    <w:rsid w:val="3F246E28"/>
    <w:rsid w:val="3F485EA2"/>
    <w:rsid w:val="3FC01C36"/>
    <w:rsid w:val="41877D80"/>
    <w:rsid w:val="4246115D"/>
    <w:rsid w:val="4395004E"/>
    <w:rsid w:val="45434139"/>
    <w:rsid w:val="466E068E"/>
    <w:rsid w:val="4721495D"/>
    <w:rsid w:val="49916E11"/>
    <w:rsid w:val="4D486D7F"/>
    <w:rsid w:val="4D8B3B2A"/>
    <w:rsid w:val="4DE33072"/>
    <w:rsid w:val="4DE37FCF"/>
    <w:rsid w:val="4E656499"/>
    <w:rsid w:val="50483F54"/>
    <w:rsid w:val="507727D0"/>
    <w:rsid w:val="50D435EA"/>
    <w:rsid w:val="51AC406F"/>
    <w:rsid w:val="53F11A83"/>
    <w:rsid w:val="555869E7"/>
    <w:rsid w:val="577E1C78"/>
    <w:rsid w:val="590C306F"/>
    <w:rsid w:val="593261B4"/>
    <w:rsid w:val="5AC828A6"/>
    <w:rsid w:val="5BC41CC4"/>
    <w:rsid w:val="5E764C6B"/>
    <w:rsid w:val="5FD0361E"/>
    <w:rsid w:val="60C153B2"/>
    <w:rsid w:val="6117616E"/>
    <w:rsid w:val="64540922"/>
    <w:rsid w:val="65FC516D"/>
    <w:rsid w:val="66507267"/>
    <w:rsid w:val="66863951"/>
    <w:rsid w:val="678E0047"/>
    <w:rsid w:val="67AB0C62"/>
    <w:rsid w:val="67CA4DF7"/>
    <w:rsid w:val="69000A2F"/>
    <w:rsid w:val="69E77EE2"/>
    <w:rsid w:val="6AD97F02"/>
    <w:rsid w:val="6B2A4806"/>
    <w:rsid w:val="6BD14D48"/>
    <w:rsid w:val="6BDE7487"/>
    <w:rsid w:val="6E4B278B"/>
    <w:rsid w:val="6F3F4F0A"/>
    <w:rsid w:val="707761E3"/>
    <w:rsid w:val="735749ED"/>
    <w:rsid w:val="73E47D5F"/>
    <w:rsid w:val="759C7E27"/>
    <w:rsid w:val="775070C7"/>
    <w:rsid w:val="77F53821"/>
    <w:rsid w:val="78DD06E9"/>
    <w:rsid w:val="79C06EAE"/>
    <w:rsid w:val="7A8A30FA"/>
    <w:rsid w:val="7C5C703D"/>
    <w:rsid w:val="7E046E5D"/>
    <w:rsid w:val="7ED23009"/>
    <w:rsid w:val="7EEB59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rPr>
  </w:style>
  <w:style w:type="paragraph" w:styleId="2">
    <w:name w:val="heading 1"/>
    <w:basedOn w:val="1"/>
    <w:next w:val="1"/>
    <w:link w:val="8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2"/>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8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9"/>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link w:val="239"/>
    <w:qFormat/>
    <w:uiPriority w:val="0"/>
    <w:pPr>
      <w:jc w:val="left"/>
    </w:pPr>
  </w:style>
  <w:style w:type="paragraph" w:styleId="15">
    <w:name w:val="Body Text"/>
    <w:basedOn w:val="1"/>
    <w:semiHidden/>
    <w:qFormat/>
    <w:uiPriority w:val="0"/>
    <w:rPr>
      <w:rFonts w:ascii="仿宋" w:hAnsi="仿宋" w:eastAsia="仿宋" w:cs="仿宋"/>
      <w:sz w:val="31"/>
      <w:szCs w:val="31"/>
      <w:lang w:eastAsia="en-US"/>
    </w:rPr>
  </w:style>
  <w:style w:type="paragraph" w:styleId="16">
    <w:name w:val="Body Text Indent"/>
    <w:basedOn w:val="1"/>
    <w:next w:val="17"/>
    <w:qFormat/>
    <w:uiPriority w:val="99"/>
    <w:pPr>
      <w:ind w:firstLine="645"/>
    </w:pPr>
    <w:rPr>
      <w:rFonts w:ascii="楷体_GB2312" w:eastAsia="楷体_GB2312"/>
      <w:sz w:val="32"/>
      <w:szCs w:val="32"/>
    </w:rPr>
  </w:style>
  <w:style w:type="paragraph" w:styleId="17">
    <w:name w:val="envelope return"/>
    <w:basedOn w:val="1"/>
    <w:unhideWhenUsed/>
    <w:qFormat/>
    <w:uiPriority w:val="99"/>
    <w:rPr>
      <w:rFonts w:ascii="Arial" w:hAnsi="Arial"/>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99"/>
    <w:pPr>
      <w:spacing w:line="400" w:lineRule="exact"/>
    </w:pPr>
    <w:rPr>
      <w:rFonts w:ascii="宋体" w:hAnsi="Courier New"/>
      <w:sz w:val="24"/>
      <w:szCs w:val="20"/>
    </w:rPr>
  </w:style>
  <w:style w:type="paragraph" w:styleId="21">
    <w:name w:val="toc 8"/>
    <w:basedOn w:val="1"/>
    <w:next w:val="1"/>
    <w:unhideWhenUsed/>
    <w:qFormat/>
    <w:uiPriority w:val="39"/>
    <w:pPr>
      <w:spacing w:after="57"/>
      <w:ind w:left="1984"/>
    </w:pPr>
  </w:style>
  <w:style w:type="paragraph" w:styleId="22">
    <w:name w:val="endnote text"/>
    <w:basedOn w:val="1"/>
    <w:link w:val="226"/>
    <w:semiHidden/>
    <w:unhideWhenUsed/>
    <w:qFormat/>
    <w:uiPriority w:val="99"/>
    <w:rPr>
      <w:sz w:val="20"/>
    </w:rPr>
  </w:style>
  <w:style w:type="paragraph" w:styleId="23">
    <w:name w:val="footer"/>
    <w:basedOn w:val="1"/>
    <w:link w:val="231"/>
    <w:qFormat/>
    <w:uiPriority w:val="99"/>
    <w:pPr>
      <w:tabs>
        <w:tab w:val="center" w:pos="4153"/>
        <w:tab w:val="right" w:pos="8306"/>
      </w:tabs>
      <w:jc w:val="left"/>
    </w:pPr>
    <w:rPr>
      <w:sz w:val="18"/>
      <w:szCs w:val="18"/>
    </w:rPr>
  </w:style>
  <w:style w:type="paragraph" w:styleId="24">
    <w:name w:val="header"/>
    <w:basedOn w:val="1"/>
    <w:link w:val="230"/>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92"/>
    <w:qFormat/>
    <w:uiPriority w:val="11"/>
    <w:pPr>
      <w:spacing w:before="200" w:after="200"/>
    </w:pPr>
    <w:rPr>
      <w:sz w:val="24"/>
    </w:rPr>
  </w:style>
  <w:style w:type="paragraph" w:styleId="28">
    <w:name w:val="footnote text"/>
    <w:basedOn w:val="1"/>
    <w:link w:val="225"/>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91"/>
    <w:qFormat/>
    <w:uiPriority w:val="10"/>
    <w:pPr>
      <w:spacing w:before="300" w:after="200"/>
      <w:contextualSpacing/>
    </w:pPr>
    <w:rPr>
      <w:sz w:val="48"/>
      <w:szCs w:val="48"/>
    </w:rPr>
  </w:style>
  <w:style w:type="paragraph" w:styleId="35">
    <w:name w:val="annotation subject"/>
    <w:basedOn w:val="14"/>
    <w:next w:val="14"/>
    <w:link w:val="240"/>
    <w:qFormat/>
    <w:uiPriority w:val="0"/>
    <w:rPr>
      <w:b/>
      <w:bCs/>
    </w:rPr>
  </w:style>
  <w:style w:type="paragraph" w:styleId="36">
    <w:name w:val="Body Text First Indent"/>
    <w:next w:val="1"/>
    <w:unhideWhenUsed/>
    <w:qFormat/>
    <w:uiPriority w:val="99"/>
    <w:pPr>
      <w:widowControl w:val="0"/>
      <w:spacing w:after="120"/>
      <w:ind w:firstLine="420"/>
      <w:jc w:val="both"/>
    </w:pPr>
    <w:rPr>
      <w:rFonts w:hint="default" w:ascii="Calibri" w:hAnsi="Calibri" w:eastAsia="宋体" w:cs="Times New Roman"/>
      <w:sz w:val="21"/>
      <w:szCs w:val="24"/>
    </w:rPr>
  </w:style>
  <w:style w:type="paragraph" w:styleId="37">
    <w:name w:val="Body Text First Indent 2"/>
    <w:basedOn w:val="16"/>
    <w:qFormat/>
    <w:uiPriority w:val="99"/>
    <w:pPr>
      <w:spacing w:line="360" w:lineRule="auto"/>
      <w:ind w:firstLine="420"/>
    </w:pPr>
    <w:rPr>
      <w:rFonts w:ascii="宋体" w:hAnsi="宋体" w:eastAsia="宋体"/>
      <w:sz w:val="21"/>
      <w:szCs w:val="20"/>
    </w:rPr>
  </w:style>
  <w:style w:type="table" w:styleId="39">
    <w:name w:val="Table Grid"/>
    <w:basedOn w:val="3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qFormat/>
    <w:uiPriority w:val="0"/>
    <w:rPr>
      <w:b/>
    </w:rPr>
  </w:style>
  <w:style w:type="character" w:styleId="42">
    <w:name w:val="endnote reference"/>
    <w:basedOn w:val="40"/>
    <w:semiHidden/>
    <w:unhideWhenUsed/>
    <w:qFormat/>
    <w:uiPriority w:val="99"/>
    <w:rPr>
      <w:vertAlign w:val="superscript"/>
    </w:rPr>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annotation reference"/>
    <w:basedOn w:val="40"/>
    <w:qFormat/>
    <w:uiPriority w:val="0"/>
    <w:rPr>
      <w:sz w:val="21"/>
      <w:szCs w:val="21"/>
    </w:rPr>
  </w:style>
  <w:style w:type="character" w:styleId="45">
    <w:name w:val="footnote reference"/>
    <w:basedOn w:val="40"/>
    <w:unhideWhenUsed/>
    <w:qFormat/>
    <w:uiPriority w:val="99"/>
    <w:rPr>
      <w:vertAlign w:val="superscript"/>
    </w:r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Heading 3 Char"/>
    <w:basedOn w:val="40"/>
    <w:qFormat/>
    <w:uiPriority w:val="9"/>
    <w:rPr>
      <w:rFonts w:ascii="Arial" w:hAnsi="Arial" w:eastAsia="Arial" w:cs="Arial"/>
      <w:sz w:val="30"/>
      <w:szCs w:val="30"/>
    </w:rPr>
  </w:style>
  <w:style w:type="character" w:customStyle="1" w:styleId="49">
    <w:name w:val="Heading 4 Char"/>
    <w:basedOn w:val="40"/>
    <w:qFormat/>
    <w:uiPriority w:val="9"/>
    <w:rPr>
      <w:rFonts w:ascii="Arial" w:hAnsi="Arial" w:eastAsia="Arial" w:cs="Arial"/>
      <w:b/>
      <w:bCs/>
      <w:sz w:val="26"/>
      <w:szCs w:val="26"/>
    </w:rPr>
  </w:style>
  <w:style w:type="character" w:customStyle="1" w:styleId="50">
    <w:name w:val="Heading 5 Char"/>
    <w:basedOn w:val="40"/>
    <w:qFormat/>
    <w:uiPriority w:val="9"/>
    <w:rPr>
      <w:rFonts w:ascii="Arial" w:hAnsi="Arial" w:eastAsia="Arial" w:cs="Arial"/>
      <w:b/>
      <w:bCs/>
      <w:sz w:val="24"/>
      <w:szCs w:val="24"/>
    </w:rPr>
  </w:style>
  <w:style w:type="character" w:customStyle="1" w:styleId="51">
    <w:name w:val="Heading 6 Char"/>
    <w:basedOn w:val="40"/>
    <w:qFormat/>
    <w:uiPriority w:val="9"/>
    <w:rPr>
      <w:rFonts w:ascii="Arial" w:hAnsi="Arial" w:eastAsia="Arial" w:cs="Arial"/>
      <w:b/>
      <w:bCs/>
      <w:sz w:val="22"/>
      <w:szCs w:val="22"/>
    </w:rPr>
  </w:style>
  <w:style w:type="character" w:customStyle="1" w:styleId="52">
    <w:name w:val="Heading 7 Char"/>
    <w:basedOn w:val="40"/>
    <w:qFormat/>
    <w:uiPriority w:val="9"/>
    <w:rPr>
      <w:rFonts w:ascii="Arial" w:hAnsi="Arial" w:eastAsia="Arial" w:cs="Arial"/>
      <w:b/>
      <w:bCs/>
      <w:i/>
      <w:iCs/>
      <w:sz w:val="22"/>
      <w:szCs w:val="22"/>
    </w:rPr>
  </w:style>
  <w:style w:type="character" w:customStyle="1" w:styleId="53">
    <w:name w:val="Heading 8 Char"/>
    <w:basedOn w:val="40"/>
    <w:qFormat/>
    <w:uiPriority w:val="9"/>
    <w:rPr>
      <w:rFonts w:ascii="Arial" w:hAnsi="Arial" w:eastAsia="Arial" w:cs="Arial"/>
      <w:i/>
      <w:iCs/>
      <w:sz w:val="22"/>
      <w:szCs w:val="22"/>
    </w:rPr>
  </w:style>
  <w:style w:type="character" w:customStyle="1" w:styleId="54">
    <w:name w:val="Heading 9 Char"/>
    <w:basedOn w:val="40"/>
    <w:qFormat/>
    <w:uiPriority w:val="9"/>
    <w:rPr>
      <w:rFonts w:ascii="Arial" w:hAnsi="Arial" w:eastAsia="Arial" w:cs="Arial"/>
      <w:i/>
      <w:iCs/>
      <w:sz w:val="21"/>
      <w:szCs w:val="21"/>
    </w:rPr>
  </w:style>
  <w:style w:type="character" w:customStyle="1" w:styleId="55">
    <w:name w:val="Title Char"/>
    <w:basedOn w:val="40"/>
    <w:qFormat/>
    <w:uiPriority w:val="10"/>
    <w:rPr>
      <w:sz w:val="48"/>
      <w:szCs w:val="48"/>
    </w:rPr>
  </w:style>
  <w:style w:type="character" w:customStyle="1" w:styleId="56">
    <w:name w:val="Subtitle Char"/>
    <w:basedOn w:val="40"/>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table" w:customStyle="1" w:styleId="59">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Heading"/>
    <w:unhideWhenUsed/>
    <w:qFormat/>
    <w:uiPriority w:val="39"/>
    <w:rPr>
      <w:rFonts w:hint="default" w:ascii="Times New Roman" w:hAnsi="Times New Roman" w:eastAsia="宋体" w:cs="Times New Roman"/>
    </w:rPr>
  </w:style>
  <w:style w:type="character" w:customStyle="1" w:styleId="81">
    <w:name w:val="标题 1 字符"/>
    <w:basedOn w:val="40"/>
    <w:link w:val="2"/>
    <w:qFormat/>
    <w:uiPriority w:val="9"/>
    <w:rPr>
      <w:rFonts w:ascii="Arial" w:hAnsi="Arial" w:eastAsia="Arial" w:cs="Arial"/>
      <w:sz w:val="40"/>
      <w:szCs w:val="40"/>
    </w:rPr>
  </w:style>
  <w:style w:type="character" w:customStyle="1" w:styleId="82">
    <w:name w:val="标题 2 字符"/>
    <w:basedOn w:val="40"/>
    <w:link w:val="3"/>
    <w:qFormat/>
    <w:uiPriority w:val="9"/>
    <w:rPr>
      <w:rFonts w:ascii="Arial" w:hAnsi="Arial" w:eastAsia="Arial" w:cs="Arial"/>
      <w:sz w:val="34"/>
    </w:rPr>
  </w:style>
  <w:style w:type="character" w:customStyle="1" w:styleId="83">
    <w:name w:val="标题 3 字符"/>
    <w:basedOn w:val="40"/>
    <w:link w:val="4"/>
    <w:qFormat/>
    <w:uiPriority w:val="9"/>
    <w:rPr>
      <w:rFonts w:ascii="Arial" w:hAnsi="Arial" w:eastAsia="Arial" w:cs="Arial"/>
      <w:sz w:val="30"/>
      <w:szCs w:val="30"/>
    </w:rPr>
  </w:style>
  <w:style w:type="character" w:customStyle="1" w:styleId="84">
    <w:name w:val="标题 4 字符"/>
    <w:basedOn w:val="40"/>
    <w:link w:val="5"/>
    <w:qFormat/>
    <w:uiPriority w:val="9"/>
    <w:rPr>
      <w:rFonts w:ascii="Arial" w:hAnsi="Arial" w:eastAsia="Arial" w:cs="Arial"/>
      <w:b/>
      <w:bCs/>
      <w:sz w:val="26"/>
      <w:szCs w:val="26"/>
    </w:rPr>
  </w:style>
  <w:style w:type="character" w:customStyle="1" w:styleId="85">
    <w:name w:val="标题 5 字符"/>
    <w:basedOn w:val="40"/>
    <w:link w:val="6"/>
    <w:qFormat/>
    <w:uiPriority w:val="9"/>
    <w:rPr>
      <w:rFonts w:ascii="Arial" w:hAnsi="Arial" w:eastAsia="Arial" w:cs="Arial"/>
      <w:b/>
      <w:bCs/>
      <w:sz w:val="24"/>
      <w:szCs w:val="24"/>
    </w:rPr>
  </w:style>
  <w:style w:type="character" w:customStyle="1" w:styleId="86">
    <w:name w:val="标题 6 字符"/>
    <w:basedOn w:val="40"/>
    <w:link w:val="7"/>
    <w:qFormat/>
    <w:uiPriority w:val="9"/>
    <w:rPr>
      <w:rFonts w:ascii="Arial" w:hAnsi="Arial" w:eastAsia="Arial" w:cs="Arial"/>
      <w:b/>
      <w:bCs/>
      <w:sz w:val="22"/>
      <w:szCs w:val="22"/>
    </w:rPr>
  </w:style>
  <w:style w:type="character" w:customStyle="1" w:styleId="87">
    <w:name w:val="标题 7 字符"/>
    <w:basedOn w:val="40"/>
    <w:link w:val="8"/>
    <w:qFormat/>
    <w:uiPriority w:val="9"/>
    <w:rPr>
      <w:rFonts w:ascii="Arial" w:hAnsi="Arial" w:eastAsia="Arial" w:cs="Arial"/>
      <w:b/>
      <w:bCs/>
      <w:i/>
      <w:iCs/>
      <w:sz w:val="22"/>
      <w:szCs w:val="22"/>
    </w:rPr>
  </w:style>
  <w:style w:type="character" w:customStyle="1" w:styleId="88">
    <w:name w:val="标题 8 字符"/>
    <w:basedOn w:val="40"/>
    <w:link w:val="9"/>
    <w:qFormat/>
    <w:uiPriority w:val="9"/>
    <w:rPr>
      <w:rFonts w:ascii="Arial" w:hAnsi="Arial" w:eastAsia="Arial" w:cs="Arial"/>
      <w:i/>
      <w:iCs/>
      <w:sz w:val="22"/>
      <w:szCs w:val="22"/>
    </w:rPr>
  </w:style>
  <w:style w:type="character" w:customStyle="1" w:styleId="89">
    <w:name w:val="标题 9 字符"/>
    <w:basedOn w:val="40"/>
    <w:link w:val="10"/>
    <w:qFormat/>
    <w:uiPriority w:val="9"/>
    <w:rPr>
      <w:rFonts w:ascii="Arial" w:hAnsi="Arial" w:eastAsia="Arial" w:cs="Arial"/>
      <w:i/>
      <w:iCs/>
      <w:sz w:val="21"/>
      <w:szCs w:val="21"/>
    </w:rPr>
  </w:style>
  <w:style w:type="paragraph" w:styleId="90">
    <w:name w:val="No Spacing"/>
    <w:qFormat/>
    <w:uiPriority w:val="1"/>
    <w:rPr>
      <w:rFonts w:hint="default" w:ascii="Times New Roman" w:hAnsi="Times New Roman" w:eastAsia="宋体" w:cs="Times New Roman"/>
    </w:rPr>
  </w:style>
  <w:style w:type="character" w:customStyle="1" w:styleId="91">
    <w:name w:val="标题 字符"/>
    <w:basedOn w:val="40"/>
    <w:link w:val="34"/>
    <w:qFormat/>
    <w:uiPriority w:val="10"/>
    <w:rPr>
      <w:sz w:val="48"/>
      <w:szCs w:val="48"/>
    </w:rPr>
  </w:style>
  <w:style w:type="character" w:customStyle="1" w:styleId="92">
    <w:name w:val="副标题 字符"/>
    <w:basedOn w:val="40"/>
    <w:link w:val="27"/>
    <w:qFormat/>
    <w:uiPriority w:val="11"/>
    <w:rPr>
      <w:sz w:val="24"/>
      <w:szCs w:val="24"/>
    </w:rPr>
  </w:style>
  <w:style w:type="paragraph" w:styleId="93">
    <w:name w:val="Quote"/>
    <w:basedOn w:val="1"/>
    <w:next w:val="1"/>
    <w:link w:val="94"/>
    <w:qFormat/>
    <w:uiPriority w:val="29"/>
    <w:pPr>
      <w:ind w:left="720" w:right="720"/>
    </w:pPr>
    <w:rPr>
      <w:i/>
    </w:rPr>
  </w:style>
  <w:style w:type="character" w:customStyle="1" w:styleId="94">
    <w:name w:val="引用 字符"/>
    <w:link w:val="93"/>
    <w:qFormat/>
    <w:uiPriority w:val="29"/>
    <w:rPr>
      <w:i/>
    </w:rPr>
  </w:style>
  <w:style w:type="paragraph" w:styleId="95">
    <w:name w:val="Intense Quote"/>
    <w:basedOn w:val="1"/>
    <w:next w:val="1"/>
    <w:link w:val="9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6">
    <w:name w:val="明显引用 字符"/>
    <w:link w:val="95"/>
    <w:qFormat/>
    <w:uiPriority w:val="30"/>
    <w:rPr>
      <w:i/>
    </w:rPr>
  </w:style>
  <w:style w:type="character" w:customStyle="1" w:styleId="97">
    <w:name w:val="Header Char"/>
    <w:basedOn w:val="40"/>
    <w:qFormat/>
    <w:uiPriority w:val="99"/>
  </w:style>
  <w:style w:type="character" w:customStyle="1" w:styleId="98">
    <w:name w:val="Footer Char"/>
    <w:basedOn w:val="40"/>
    <w:qFormat/>
    <w:uiPriority w:val="99"/>
  </w:style>
  <w:style w:type="character" w:customStyle="1" w:styleId="99">
    <w:name w:val="Caption Char"/>
    <w:qFormat/>
    <w:uiPriority w:val="99"/>
  </w:style>
  <w:style w:type="table" w:customStyle="1" w:styleId="100">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1">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2">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3">
    <w:name w:val="无格式表格 31"/>
    <w:basedOn w:val="3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41"/>
    <w:basedOn w:val="3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51"/>
    <w:basedOn w:val="3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7">
    <w:name w:val="Grid Table 1 Light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8">
    <w:name w:val="Grid Table 1 Light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9">
    <w:name w:val="Grid Table 1 Light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0">
    <w:name w:val="Grid Table 1 Light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1">
    <w:name w:val="Grid Table 1 Light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2">
    <w:name w:val="Grid Table 1 Light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3">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2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5">
    <w:name w:val="Grid Table 2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6">
    <w:name w:val="Grid Table 2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7">
    <w:name w:val="Grid Table 2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8">
    <w:name w:val="Grid Table 2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9">
    <w:name w:val="Grid Table 2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0">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3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2">
    <w:name w:val="Grid Table 3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3">
    <w:name w:val="Grid Table 3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4">
    <w:name w:val="Grid Table 3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5">
    <w:name w:val="Grid Table 3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6">
    <w:name w:val="Grid Table 3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7">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4 - Accent 1"/>
    <w:basedOn w:val="3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29">
    <w:name w:val="Grid Table 4 - Accent 2"/>
    <w:basedOn w:val="3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0">
    <w:name w:val="Grid Table 4 - Accent 3"/>
    <w:basedOn w:val="3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1">
    <w:name w:val="Grid Table 4 - Accent 4"/>
    <w:basedOn w:val="3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2">
    <w:name w:val="Grid Table 4 - Accent 5"/>
    <w:basedOn w:val="3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3">
    <w:name w:val="Grid Table 4 - Accent 6"/>
    <w:basedOn w:val="3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4">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5">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6">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7">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8">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9">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0">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1">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6 Colorful - Accent 1"/>
    <w:basedOn w:val="3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3">
    <w:name w:val="Grid Table 6 Colorful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4">
    <w:name w:val="Grid Table 6 Colorful - Accent 3"/>
    <w:basedOn w:val="3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5">
    <w:name w:val="Grid Table 6 Colorful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6">
    <w:name w:val="Grid Table 6 Colorful - Accent 5"/>
    <w:basedOn w:val="3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7">
    <w:name w:val="Grid Table 6 Colorful - Accent 6"/>
    <w:basedOn w:val="3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8">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7 Colorful - Accent 1"/>
    <w:basedOn w:val="3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basedOn w:val="3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basedOn w:val="3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2">
    <w:name w:val="Grid Table 7 Colorful - Accent 4"/>
    <w:basedOn w:val="3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basedOn w:val="3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4">
    <w:name w:val="Grid Table 7 Colorful - Accent 6"/>
    <w:basedOn w:val="3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5">
    <w:name w:val="清单表 1 浅色1"/>
    <w:basedOn w:val="3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6">
    <w:name w:val="List Table 1 Light - Accent 1"/>
    <w:basedOn w:val="38"/>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7">
    <w:name w:val="List Table 1 Light - Accent 2"/>
    <w:basedOn w:val="3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8">
    <w:name w:val="List Table 1 Light - Accent 3"/>
    <w:basedOn w:val="3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9">
    <w:name w:val="List Table 1 Light - Accent 4"/>
    <w:basedOn w:val="3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0">
    <w:name w:val="List Table 1 Light - Accent 5"/>
    <w:basedOn w:val="38"/>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1">
    <w:name w:val="List Table 1 Light - Accent 6"/>
    <w:basedOn w:val="3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2">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2 - Accent 1"/>
    <w:basedOn w:val="3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4">
    <w:name w:val="List Table 2 - Accent 2"/>
    <w:basedOn w:val="3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5">
    <w:name w:val="List Table 2 - Accent 3"/>
    <w:basedOn w:val="3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6">
    <w:name w:val="List Table 2 - Accent 4"/>
    <w:basedOn w:val="3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7">
    <w:name w:val="List Table 2 - Accent 5"/>
    <w:basedOn w:val="3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8">
    <w:name w:val="List Table 2 - Accent 6"/>
    <w:basedOn w:val="3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9">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0">
    <w:name w:val="List Table 3 - Accent 1"/>
    <w:basedOn w:val="3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1">
    <w:name w:val="List Table 3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2">
    <w:name w:val="List Table 3 - Accent 3"/>
    <w:basedOn w:val="3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3">
    <w:name w:val="List Table 3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4">
    <w:name w:val="List Table 3 - Accent 5"/>
    <w:basedOn w:val="3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5">
    <w:name w:val="List Table 3 - Accent 6"/>
    <w:basedOn w:val="3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6">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4 - Accent 1"/>
    <w:basedOn w:val="3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8">
    <w:name w:val="List Table 4 - Accent 2"/>
    <w:basedOn w:val="3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9">
    <w:name w:val="List Table 4 - Accent 3"/>
    <w:basedOn w:val="3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0">
    <w:name w:val="List Table 4 - Accent 4"/>
    <w:basedOn w:val="3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1">
    <w:name w:val="List Table 4 - Accent 5"/>
    <w:basedOn w:val="3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2">
    <w:name w:val="List Table 4 - Accent 6"/>
    <w:basedOn w:val="3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3">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4">
    <w:name w:val="List Table 5 Dark - Accent 1"/>
    <w:basedOn w:val="3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5">
    <w:name w:val="List Table 5 Dark - Accent 2"/>
    <w:basedOn w:val="3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6">
    <w:name w:val="List Table 5 Dark - Accent 3"/>
    <w:basedOn w:val="3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7">
    <w:name w:val="List Table 5 Dark - Accent 4"/>
    <w:basedOn w:val="3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8">
    <w:name w:val="List Table 5 Dark - Accent 5"/>
    <w:basedOn w:val="3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89">
    <w:name w:val="List Table 5 Dark - Accent 6"/>
    <w:basedOn w:val="3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0">
    <w:name w:val="清单表 6 彩色1"/>
    <w:basedOn w:val="3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1">
    <w:name w:val="List Table 6 Colorful - Accent 1"/>
    <w:basedOn w:val="38"/>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2">
    <w:name w:val="List Table 6 Colorful - Accent 2"/>
    <w:basedOn w:val="3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basedOn w:val="3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basedOn w:val="3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basedOn w:val="38"/>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basedOn w:val="3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7">
    <w:name w:val="清单表 7 彩色1"/>
    <w:basedOn w:val="3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8">
    <w:name w:val="List Table 7 Colorful - Accent 1"/>
    <w:basedOn w:val="38"/>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9">
    <w:name w:val="List Table 7 Colorful - Accent 2"/>
    <w:basedOn w:val="3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0">
    <w:name w:val="List Table 7 Colorful - Accent 3"/>
    <w:basedOn w:val="3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1">
    <w:name w:val="List Table 7 Colorful - Accent 4"/>
    <w:basedOn w:val="3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2">
    <w:name w:val="List Table 7 Colorful - Accent 5"/>
    <w:basedOn w:val="38"/>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3">
    <w:name w:val="List Table 7 Colorful - Accent 6"/>
    <w:basedOn w:val="3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4">
    <w:name w:val="Lined - Accent"/>
    <w:basedOn w:val="3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Lined - Accent 1"/>
    <w:basedOn w:val="38"/>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6">
    <w:name w:val="Lined - Accent 2"/>
    <w:basedOn w:val="3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7">
    <w:name w:val="Lined - Accent 3"/>
    <w:basedOn w:val="3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8">
    <w:name w:val="Lined - Accent 4"/>
    <w:basedOn w:val="3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9">
    <w:name w:val="Lined - Accent 5"/>
    <w:basedOn w:val="38"/>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0">
    <w:name w:val="Lined - Accent 6"/>
    <w:basedOn w:val="3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1">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Bordered &amp; Lined - Accent 1"/>
    <w:basedOn w:val="3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3">
    <w:name w:val="Bordered &amp; Lined - Accent 2"/>
    <w:basedOn w:val="3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4">
    <w:name w:val="Bordered &amp; Lined - Accent 3"/>
    <w:basedOn w:val="3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5">
    <w:name w:val="Bordered &amp; Lined - Accent 4"/>
    <w:basedOn w:val="3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6">
    <w:name w:val="Bordered &amp; Lined - Accent 5"/>
    <w:basedOn w:val="3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7">
    <w:name w:val="Bordered &amp; Lined - Accent 6"/>
    <w:basedOn w:val="3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8">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9">
    <w:name w:val="Bordered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0">
    <w:name w:val="Bordered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1">
    <w:name w:val="Bordered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2">
    <w:name w:val="Bordered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3">
    <w:name w:val="Bordered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4">
    <w:name w:val="Bordered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5">
    <w:name w:val="脚注文本 字符"/>
    <w:link w:val="28"/>
    <w:qFormat/>
    <w:uiPriority w:val="99"/>
    <w:rPr>
      <w:sz w:val="18"/>
    </w:rPr>
  </w:style>
  <w:style w:type="character" w:customStyle="1" w:styleId="226">
    <w:name w:val="尾注文本 字符"/>
    <w:link w:val="22"/>
    <w:qFormat/>
    <w:uiPriority w:val="99"/>
    <w:rPr>
      <w:sz w:val="20"/>
    </w:rPr>
  </w:style>
  <w:style w:type="paragraph" w:customStyle="1" w:styleId="227">
    <w:name w:val="TOC 标题1"/>
    <w:unhideWhenUsed/>
    <w:qFormat/>
    <w:uiPriority w:val="39"/>
    <w:rPr>
      <w:rFonts w:hint="default" w:ascii="Times New Roman" w:hAnsi="Times New Roman" w:eastAsia="宋体" w:cs="Times New Roman"/>
    </w:rPr>
  </w:style>
  <w:style w:type="paragraph" w:customStyle="1" w:styleId="228">
    <w:name w:val="索引 41"/>
    <w:basedOn w:val="1"/>
    <w:next w:val="1"/>
    <w:unhideWhenUsed/>
    <w:qFormat/>
    <w:uiPriority w:val="99"/>
    <w:pPr>
      <w:spacing w:before="100" w:beforeAutospacing="1" w:after="100" w:afterAutospacing="1"/>
      <w:ind w:left="600"/>
    </w:pPr>
    <w:rPr>
      <w:rFonts w:ascii="宋体"/>
      <w:b/>
      <w:bCs/>
      <w:position w:val="-10"/>
      <w:sz w:val="24"/>
      <w:szCs w:val="22"/>
    </w:rPr>
  </w:style>
  <w:style w:type="paragraph" w:customStyle="1" w:styleId="229">
    <w:name w:val="Default"/>
    <w:basedOn w:val="1"/>
    <w:semiHidden/>
    <w:qFormat/>
    <w:uiPriority w:val="0"/>
    <w:pPr>
      <w:jc w:val="left"/>
    </w:pPr>
    <w:rPr>
      <w:rFonts w:ascii="宋体" w:hAnsi="Calibri" w:cs="宋体"/>
      <w:color w:val="000000"/>
      <w:sz w:val="24"/>
    </w:rPr>
  </w:style>
  <w:style w:type="character" w:customStyle="1" w:styleId="230">
    <w:name w:val="页眉 字符"/>
    <w:basedOn w:val="40"/>
    <w:link w:val="24"/>
    <w:qFormat/>
    <w:uiPriority w:val="0"/>
    <w:rPr>
      <w:rFonts w:asciiTheme="minorHAnsi" w:hAnsiTheme="minorHAnsi" w:eastAsiaTheme="minorEastAsia" w:cstheme="minorBidi"/>
      <w:sz w:val="18"/>
      <w:szCs w:val="18"/>
    </w:rPr>
  </w:style>
  <w:style w:type="character" w:customStyle="1" w:styleId="231">
    <w:name w:val="页脚 字符"/>
    <w:basedOn w:val="40"/>
    <w:link w:val="23"/>
    <w:qFormat/>
    <w:uiPriority w:val="99"/>
    <w:rPr>
      <w:rFonts w:asciiTheme="minorHAnsi" w:hAnsiTheme="minorHAnsi" w:eastAsiaTheme="minorEastAsia" w:cstheme="minorBidi"/>
      <w:sz w:val="18"/>
      <w:szCs w:val="18"/>
    </w:rPr>
  </w:style>
  <w:style w:type="paragraph" w:customStyle="1" w:styleId="232">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33">
    <w:name w:val="正文首行缩进 21"/>
    <w:basedOn w:val="234"/>
    <w:qFormat/>
    <w:uiPriority w:val="0"/>
    <w:pPr>
      <w:ind w:firstLine="420"/>
    </w:pPr>
  </w:style>
  <w:style w:type="paragraph" w:customStyle="1" w:styleId="234">
    <w:name w:val="正文文本缩进1"/>
    <w:basedOn w:val="1"/>
    <w:qFormat/>
    <w:uiPriority w:val="0"/>
    <w:pPr>
      <w:spacing w:after="120"/>
      <w:ind w:left="420"/>
    </w:pPr>
  </w:style>
  <w:style w:type="paragraph" w:styleId="235">
    <w:name w:val="List Paragraph"/>
    <w:basedOn w:val="1"/>
    <w:qFormat/>
    <w:uiPriority w:val="34"/>
    <w:pPr>
      <w:ind w:firstLine="420"/>
    </w:pPr>
  </w:style>
  <w:style w:type="paragraph" w:customStyle="1" w:styleId="236">
    <w:name w:val="纯文本1"/>
    <w:basedOn w:val="1"/>
    <w:qFormat/>
    <w:uiPriority w:val="0"/>
    <w:rPr>
      <w:rFonts w:ascii="宋体" w:hAnsi="Courier New" w:eastAsia="楷体_GB2312"/>
      <w:sz w:val="26"/>
      <w:szCs w:val="20"/>
    </w:rPr>
  </w:style>
  <w:style w:type="character" w:customStyle="1" w:styleId="237">
    <w:name w:val="font21"/>
    <w:basedOn w:val="40"/>
    <w:qFormat/>
    <w:uiPriority w:val="0"/>
    <w:rPr>
      <w:rFonts w:hint="eastAsia" w:ascii="宋体" w:hAnsi="宋体" w:eastAsia="宋体" w:cs="宋体"/>
      <w:color w:val="000000"/>
      <w:sz w:val="22"/>
      <w:szCs w:val="22"/>
      <w:u w:val="none"/>
    </w:rPr>
  </w:style>
  <w:style w:type="paragraph" w:customStyle="1" w:styleId="238">
    <w:name w:val="纯文本11"/>
    <w:basedOn w:val="1"/>
    <w:qFormat/>
    <w:uiPriority w:val="0"/>
    <w:rPr>
      <w:rFonts w:ascii="宋体" w:hAnsi="Courier New" w:eastAsia="楷体_GB2312"/>
      <w:sz w:val="26"/>
      <w:szCs w:val="20"/>
    </w:rPr>
  </w:style>
  <w:style w:type="character" w:customStyle="1" w:styleId="239">
    <w:name w:val="批注文字 字符"/>
    <w:basedOn w:val="40"/>
    <w:link w:val="14"/>
    <w:qFormat/>
    <w:uiPriority w:val="0"/>
    <w:rPr>
      <w:rFonts w:asciiTheme="minorHAnsi" w:hAnsiTheme="minorHAnsi" w:eastAsiaTheme="minorEastAsia" w:cstheme="minorBidi"/>
      <w:sz w:val="21"/>
      <w:szCs w:val="24"/>
    </w:rPr>
  </w:style>
  <w:style w:type="character" w:customStyle="1" w:styleId="240">
    <w:name w:val="批注主题 字符"/>
    <w:basedOn w:val="239"/>
    <w:link w:val="35"/>
    <w:qFormat/>
    <w:uiPriority w:val="0"/>
    <w:rPr>
      <w:rFonts w:asciiTheme="minorHAnsi" w:hAnsiTheme="minorHAnsi" w:eastAsiaTheme="minorEastAsia" w:cstheme="minorBidi"/>
      <w:b/>
      <w:bCs/>
      <w:sz w:val="21"/>
      <w:szCs w:val="24"/>
    </w:rPr>
  </w:style>
  <w:style w:type="table" w:customStyle="1" w:styleId="241">
    <w:name w:val="Table Normal"/>
    <w:semiHidden/>
    <w:unhideWhenUsed/>
    <w:qFormat/>
    <w:uiPriority w:val="0"/>
    <w:tblPr>
      <w:tblCellMar>
        <w:top w:w="0" w:type="dxa"/>
        <w:left w:w="0" w:type="dxa"/>
        <w:bottom w:w="0" w:type="dxa"/>
        <w:right w:w="0" w:type="dxa"/>
      </w:tblCellMar>
    </w:tblPr>
  </w:style>
  <w:style w:type="character" w:customStyle="1" w:styleId="242">
    <w:name w:val="font31"/>
    <w:basedOn w:val="40"/>
    <w:qFormat/>
    <w:uiPriority w:val="0"/>
    <w:rPr>
      <w:rFonts w:hint="default" w:ascii="Calibri" w:hAnsi="Calibri" w:cs="Calibri"/>
      <w:color w:val="000000"/>
      <w:sz w:val="24"/>
      <w:szCs w:val="24"/>
      <w:u w:val="single"/>
    </w:rPr>
  </w:style>
  <w:style w:type="character" w:customStyle="1" w:styleId="243">
    <w:name w:val="font11"/>
    <w:basedOn w:val="40"/>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D72E2206-4DB2-475E-BD35-6BE9B3838ED4}">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60</Pages>
  <Words>28316</Words>
  <Characters>29699</Characters>
  <TotalTime>6</TotalTime>
  <ScaleCrop>false</ScaleCrop>
  <LinksUpToDate>false</LinksUpToDate>
  <CharactersWithSpaces>30438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2025-07-30T22:54:00Z</dcterms:created>
  <dc:creator>正式环境陈艳测试账号</dc:creator>
  <cp:lastModifiedBy>诗和远方</cp:lastModifiedBy>
  <cp:lastPrinted>2026-04-29T06:28:00Z</cp:lastPrinted>
  <dcterms:modified xsi:type="dcterms:W3CDTF">2026-05-15T07:08:00Z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854E752BA7854D3A96B68E135F95B2DE_13</vt:lpwstr>
  </property>
  <property fmtid="{D5CDD505-2E9C-101B-9397-08002B2CF9AE}" pid="4" name="KSOTemplateDocerSaveRecord">
    <vt:lpwstr>eyJoZGlkIjoiNDQ3ZjNmNzk1MDdlYjFiNDY2NDEwMjY0N2ZmYTU0ZmQiLCJ1c2VySWQiOiI2MTkwMTc1MTQifQ==</vt:lpwstr>
  </property>
</Properties>
</file>